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06CA" w:rsidRDefault="009F06CA">
      <w:pPr>
        <w:pStyle w:val="Title"/>
        <w:spacing w:before="240" w:after="0"/>
        <w:jc w:val="center"/>
      </w:pPr>
      <w:bookmarkStart w:id="0" w:name="_gjdgxs" w:colFirst="0" w:colLast="0"/>
      <w:bookmarkEnd w:id="0"/>
    </w:p>
    <w:p w:rsidR="009F06CA" w:rsidRDefault="009F06CA">
      <w:pPr>
        <w:pStyle w:val="Title"/>
        <w:spacing w:before="240" w:after="0"/>
        <w:jc w:val="center"/>
      </w:pPr>
      <w:bookmarkStart w:id="1" w:name="_k3vvnb678fuy" w:colFirst="0" w:colLast="0"/>
      <w:bookmarkEnd w:id="1"/>
    </w:p>
    <w:p w:rsidR="009F06CA" w:rsidRDefault="009F06CA">
      <w:pPr>
        <w:pStyle w:val="Title"/>
        <w:spacing w:before="240" w:after="0"/>
        <w:jc w:val="center"/>
      </w:pPr>
      <w:bookmarkStart w:id="2" w:name="_hstkau3d6tz6" w:colFirst="0" w:colLast="0"/>
      <w:bookmarkEnd w:id="2"/>
    </w:p>
    <w:p w:rsidR="009F06CA" w:rsidRDefault="00D0425F">
      <w:pPr>
        <w:pStyle w:val="Title"/>
        <w:spacing w:before="240" w:after="0"/>
        <w:jc w:val="center"/>
      </w:pPr>
      <w:bookmarkStart w:id="3" w:name="_ij4iuv3qtgvc" w:colFirst="0" w:colLast="0"/>
      <w:bookmarkEnd w:id="3"/>
      <w:r>
        <w:t>Energy Trading System</w:t>
      </w:r>
    </w:p>
    <w:p w:rsidR="009F06CA" w:rsidRDefault="00D0425F">
      <w:pPr>
        <w:pStyle w:val="Subtitle"/>
        <w:spacing w:before="240" w:after="0"/>
        <w:jc w:val="center"/>
      </w:pPr>
      <w:bookmarkStart w:id="4" w:name="_ahw20aqtfz4" w:colFirst="0" w:colLast="0"/>
      <w:bookmarkEnd w:id="4"/>
      <w:r>
        <w:t>User Stories</w:t>
      </w:r>
    </w:p>
    <w:p w:rsidR="009F06CA" w:rsidRDefault="00D0425F">
      <w:pPr>
        <w:pStyle w:val="Subtitle"/>
        <w:spacing w:before="240" w:after="0"/>
        <w:jc w:val="center"/>
      </w:pPr>
      <w:bookmarkStart w:id="5" w:name="_ikc9x91wsiqv" w:colFirst="0" w:colLast="0"/>
      <w:bookmarkEnd w:id="5"/>
      <w:r>
        <w:t>How CCS use the current system</w:t>
      </w:r>
      <w:r>
        <w:br w:type="page"/>
      </w:r>
    </w:p>
    <w:p w:rsidR="009F06CA" w:rsidRDefault="00D0425F">
      <w:pPr>
        <w:pStyle w:val="Heading1"/>
      </w:pPr>
      <w:bookmarkStart w:id="6" w:name="_94b99dxdv0jg" w:colFirst="0" w:colLast="0"/>
      <w:bookmarkEnd w:id="6"/>
      <w:r>
        <w:lastRenderedPageBreak/>
        <w:t>Contents</w:t>
      </w:r>
    </w:p>
    <w:p w:rsidR="009F06CA" w:rsidRDefault="009F06CA"/>
    <w:sdt>
      <w:sdtPr>
        <w:id w:val="-1680497559"/>
        <w:docPartObj>
          <w:docPartGallery w:val="Table of Contents"/>
          <w:docPartUnique/>
        </w:docPartObj>
      </w:sdtPr>
      <w:sdtEndPr/>
      <w:sdtContent>
        <w:p w:rsidR="009F06CA" w:rsidRDefault="00D0425F">
          <w:pPr>
            <w:tabs>
              <w:tab w:val="right" w:pos="9030"/>
            </w:tabs>
            <w:spacing w:before="80" w:line="240" w:lineRule="auto"/>
            <w:rPr>
              <w:b/>
              <w:color w:val="000000"/>
            </w:rPr>
          </w:pPr>
          <w:r>
            <w:fldChar w:fldCharType="begin"/>
          </w:r>
          <w:r>
            <w:instrText xml:space="preserve"> TOC \h \u \z </w:instrText>
          </w:r>
          <w:r>
            <w:fldChar w:fldCharType="separate"/>
          </w:r>
          <w:hyperlink w:anchor="_94b99dxdv0jg">
            <w:r>
              <w:rPr>
                <w:b/>
                <w:color w:val="000000"/>
              </w:rPr>
              <w:t>Contents</w:t>
            </w:r>
          </w:hyperlink>
          <w:r>
            <w:rPr>
              <w:b/>
              <w:color w:val="000000"/>
            </w:rPr>
            <w:tab/>
          </w:r>
          <w:r>
            <w:fldChar w:fldCharType="begin"/>
          </w:r>
          <w:r>
            <w:instrText xml:space="preserve"> PAGEREF _94b99dxdv0jg \h </w:instrText>
          </w:r>
          <w:r>
            <w:fldChar w:fldCharType="separate"/>
          </w:r>
          <w:r>
            <w:rPr>
              <w:b/>
              <w:color w:val="000000"/>
            </w:rPr>
            <w:t>2</w:t>
          </w:r>
          <w:r>
            <w:fldChar w:fldCharType="end"/>
          </w:r>
        </w:p>
        <w:p w:rsidR="009F06CA" w:rsidRDefault="00D0425F">
          <w:pPr>
            <w:tabs>
              <w:tab w:val="right" w:pos="9030"/>
            </w:tabs>
            <w:spacing w:before="200" w:line="240" w:lineRule="auto"/>
            <w:rPr>
              <w:b/>
              <w:color w:val="000000"/>
            </w:rPr>
          </w:pPr>
          <w:hyperlink w:anchor="_z2ti7py1sdf9">
            <w:r>
              <w:rPr>
                <w:b/>
                <w:color w:val="000000"/>
              </w:rPr>
              <w:t>Background</w:t>
            </w:r>
          </w:hyperlink>
          <w:r>
            <w:rPr>
              <w:b/>
              <w:color w:val="000000"/>
            </w:rPr>
            <w:tab/>
          </w:r>
          <w:r>
            <w:fldChar w:fldCharType="begin"/>
          </w:r>
          <w:r>
            <w:instrText xml:space="preserve"> PAGEREF _z2ti7py1sdf9 \h </w:instrText>
          </w:r>
          <w:r>
            <w:fldChar w:fldCharType="separate"/>
          </w:r>
          <w:r>
            <w:rPr>
              <w:b/>
              <w:color w:val="000000"/>
            </w:rPr>
            <w:t>4</w:t>
          </w:r>
          <w:r>
            <w:fldChar w:fldCharType="end"/>
          </w:r>
        </w:p>
        <w:p w:rsidR="009F06CA" w:rsidRDefault="00D0425F">
          <w:pPr>
            <w:tabs>
              <w:tab w:val="right" w:pos="9030"/>
            </w:tabs>
            <w:spacing w:before="200" w:line="240" w:lineRule="auto"/>
            <w:rPr>
              <w:b/>
              <w:color w:val="000000"/>
            </w:rPr>
          </w:pPr>
          <w:hyperlink w:anchor="_1fob9te">
            <w:r>
              <w:rPr>
                <w:b/>
                <w:color w:val="000000"/>
              </w:rPr>
              <w:t>CCS energy baskets</w:t>
            </w:r>
          </w:hyperlink>
          <w:r>
            <w:rPr>
              <w:b/>
              <w:color w:val="000000"/>
            </w:rPr>
            <w:tab/>
          </w:r>
          <w:r>
            <w:fldChar w:fldCharType="begin"/>
          </w:r>
          <w:r>
            <w:instrText xml:space="preserve"> PAGEREF _1fob9te \h </w:instrText>
          </w:r>
          <w:r>
            <w:fldChar w:fldCharType="separate"/>
          </w:r>
          <w:r>
            <w:rPr>
              <w:b/>
              <w:color w:val="000000"/>
            </w:rPr>
            <w:t>4</w:t>
          </w:r>
          <w:r>
            <w:fldChar w:fldCharType="end"/>
          </w:r>
        </w:p>
        <w:p w:rsidR="009F06CA" w:rsidRDefault="00D0425F">
          <w:pPr>
            <w:tabs>
              <w:tab w:val="right" w:pos="9030"/>
            </w:tabs>
            <w:spacing w:before="200" w:line="240" w:lineRule="auto"/>
            <w:rPr>
              <w:b/>
              <w:color w:val="000000"/>
            </w:rPr>
          </w:pPr>
          <w:hyperlink w:anchor="_3znysh7">
            <w:r>
              <w:rPr>
                <w:b/>
                <w:color w:val="000000"/>
              </w:rPr>
              <w:t>Risk management strategies</w:t>
            </w:r>
          </w:hyperlink>
          <w:r>
            <w:rPr>
              <w:b/>
              <w:color w:val="000000"/>
            </w:rPr>
            <w:tab/>
          </w:r>
          <w:r>
            <w:fldChar w:fldCharType="begin"/>
          </w:r>
          <w:r>
            <w:instrText xml:space="preserve"> PAGEREF _3znysh7 \h </w:instrText>
          </w:r>
          <w:r>
            <w:fldChar w:fldCharType="separate"/>
          </w:r>
          <w:r>
            <w:rPr>
              <w:b/>
              <w:color w:val="000000"/>
            </w:rPr>
            <w:t>4</w:t>
          </w:r>
          <w:r>
            <w:fldChar w:fldCharType="end"/>
          </w:r>
        </w:p>
        <w:p w:rsidR="009F06CA" w:rsidRDefault="00D0425F">
          <w:pPr>
            <w:tabs>
              <w:tab w:val="right" w:pos="9030"/>
            </w:tabs>
            <w:spacing w:before="200" w:line="240" w:lineRule="auto"/>
            <w:rPr>
              <w:b/>
              <w:color w:val="000000"/>
            </w:rPr>
          </w:pPr>
          <w:hyperlink w:anchor="_2et92p0">
            <w:r>
              <w:rPr>
                <w:b/>
                <w:color w:val="000000"/>
              </w:rPr>
              <w:t>Baskets summary</w:t>
            </w:r>
          </w:hyperlink>
          <w:r>
            <w:rPr>
              <w:b/>
              <w:color w:val="000000"/>
            </w:rPr>
            <w:tab/>
          </w:r>
          <w:r>
            <w:fldChar w:fldCharType="begin"/>
          </w:r>
          <w:r>
            <w:instrText xml:space="preserve"> PAGEREF _2et92p0 \h </w:instrText>
          </w:r>
          <w:r>
            <w:fldChar w:fldCharType="separate"/>
          </w:r>
          <w:r>
            <w:rPr>
              <w:b/>
              <w:color w:val="000000"/>
            </w:rPr>
            <w:t>5</w:t>
          </w:r>
          <w:r>
            <w:fldChar w:fldCharType="end"/>
          </w:r>
        </w:p>
        <w:p w:rsidR="009F06CA" w:rsidRDefault="00D0425F">
          <w:pPr>
            <w:tabs>
              <w:tab w:val="right" w:pos="9030"/>
            </w:tabs>
            <w:spacing w:before="200" w:line="240" w:lineRule="auto"/>
            <w:rPr>
              <w:b/>
              <w:color w:val="000000"/>
            </w:rPr>
          </w:pPr>
          <w:hyperlink w:anchor="_tyjcwt">
            <w:r>
              <w:rPr>
                <w:b/>
                <w:color w:val="000000"/>
              </w:rPr>
              <w:t>Energy trading system</w:t>
            </w:r>
          </w:hyperlink>
          <w:r>
            <w:rPr>
              <w:b/>
              <w:color w:val="000000"/>
            </w:rPr>
            <w:tab/>
          </w:r>
          <w:r>
            <w:fldChar w:fldCharType="begin"/>
          </w:r>
          <w:r>
            <w:instrText xml:space="preserve"> PAGEREF _tyjcwt \h </w:instrText>
          </w:r>
          <w:r>
            <w:fldChar w:fldCharType="separate"/>
          </w:r>
          <w:r>
            <w:rPr>
              <w:b/>
              <w:color w:val="000000"/>
            </w:rPr>
            <w:t>6</w:t>
          </w:r>
          <w:r>
            <w:fldChar w:fldCharType="end"/>
          </w:r>
        </w:p>
        <w:p w:rsidR="009F06CA" w:rsidRDefault="00D0425F">
          <w:pPr>
            <w:tabs>
              <w:tab w:val="right" w:pos="9030"/>
            </w:tabs>
            <w:spacing w:before="200" w:line="240" w:lineRule="auto"/>
            <w:rPr>
              <w:b/>
              <w:color w:val="000000"/>
            </w:rPr>
          </w:pPr>
          <w:hyperlink w:anchor="_3dy6vkm">
            <w:r>
              <w:rPr>
                <w:b/>
                <w:color w:val="000000"/>
              </w:rPr>
              <w:t>System configuration</w:t>
            </w:r>
          </w:hyperlink>
          <w:r>
            <w:rPr>
              <w:b/>
              <w:color w:val="000000"/>
            </w:rPr>
            <w:tab/>
          </w:r>
          <w:r>
            <w:fldChar w:fldCharType="begin"/>
          </w:r>
          <w:r>
            <w:instrText xml:space="preserve"> PAGEREF _3dy6vkm \h </w:instrText>
          </w:r>
          <w:r>
            <w:fldChar w:fldCharType="separate"/>
          </w:r>
          <w:r>
            <w:rPr>
              <w:b/>
              <w:color w:val="000000"/>
            </w:rPr>
            <w:t>6</w:t>
          </w:r>
          <w:r>
            <w:fldChar w:fldCharType="end"/>
          </w:r>
        </w:p>
        <w:p w:rsidR="009F06CA" w:rsidRDefault="00D0425F">
          <w:pPr>
            <w:tabs>
              <w:tab w:val="right" w:pos="9030"/>
            </w:tabs>
            <w:spacing w:before="200" w:line="240" w:lineRule="auto"/>
            <w:rPr>
              <w:b/>
              <w:color w:val="000000"/>
            </w:rPr>
          </w:pPr>
          <w:hyperlink w:anchor="_1t3h5sf">
            <w:r>
              <w:rPr>
                <w:b/>
                <w:color w:val="000000"/>
              </w:rPr>
              <w:t>Basket creation</w:t>
            </w:r>
          </w:hyperlink>
          <w:r>
            <w:rPr>
              <w:b/>
              <w:color w:val="000000"/>
            </w:rPr>
            <w:tab/>
          </w:r>
          <w:r>
            <w:fldChar w:fldCharType="begin"/>
          </w:r>
          <w:r>
            <w:instrText xml:space="preserve"> PAGEREF _1t3</w:instrText>
          </w:r>
          <w:r>
            <w:instrText xml:space="preserve">h5sf \h </w:instrText>
          </w:r>
          <w:r>
            <w:fldChar w:fldCharType="separate"/>
          </w:r>
          <w:r>
            <w:rPr>
              <w:b/>
              <w:color w:val="000000"/>
            </w:rPr>
            <w:t>6</w:t>
          </w:r>
          <w:r>
            <w:fldChar w:fldCharType="end"/>
          </w:r>
        </w:p>
        <w:p w:rsidR="009F06CA" w:rsidRDefault="00D0425F">
          <w:pPr>
            <w:tabs>
              <w:tab w:val="right" w:pos="9030"/>
            </w:tabs>
            <w:spacing w:before="200" w:line="240" w:lineRule="auto"/>
            <w:rPr>
              <w:b/>
              <w:color w:val="000000"/>
            </w:rPr>
          </w:pPr>
          <w:hyperlink w:anchor="_4d34og8">
            <w:r>
              <w:rPr>
                <w:b/>
                <w:color w:val="000000"/>
              </w:rPr>
              <w:t>Demand forecasts</w:t>
            </w:r>
          </w:hyperlink>
          <w:r>
            <w:rPr>
              <w:b/>
              <w:color w:val="000000"/>
            </w:rPr>
            <w:tab/>
          </w:r>
          <w:r>
            <w:fldChar w:fldCharType="begin"/>
          </w:r>
          <w:r>
            <w:instrText xml:space="preserve"> PAGEREF _4d34og8 \h </w:instrText>
          </w:r>
          <w:r>
            <w:fldChar w:fldCharType="separate"/>
          </w:r>
          <w:r>
            <w:rPr>
              <w:b/>
              <w:color w:val="000000"/>
            </w:rPr>
            <w:t>7</w:t>
          </w:r>
          <w:r>
            <w:fldChar w:fldCharType="end"/>
          </w:r>
        </w:p>
        <w:p w:rsidR="009F06CA" w:rsidRDefault="00D0425F">
          <w:pPr>
            <w:tabs>
              <w:tab w:val="right" w:pos="9030"/>
            </w:tabs>
            <w:spacing w:before="200" w:line="240" w:lineRule="auto"/>
            <w:rPr>
              <w:b/>
              <w:color w:val="000000"/>
            </w:rPr>
          </w:pPr>
          <w:hyperlink w:anchor="_2s8eyo1">
            <w:r>
              <w:rPr>
                <w:b/>
                <w:color w:val="000000"/>
              </w:rPr>
              <w:t>Loading demand fore</w:t>
            </w:r>
            <w:r>
              <w:rPr>
                <w:b/>
                <w:color w:val="000000"/>
              </w:rPr>
              <w:t>casts into the ETS</w:t>
            </w:r>
          </w:hyperlink>
          <w:r>
            <w:rPr>
              <w:b/>
              <w:color w:val="000000"/>
            </w:rPr>
            <w:tab/>
          </w:r>
          <w:r>
            <w:fldChar w:fldCharType="begin"/>
          </w:r>
          <w:r>
            <w:instrText xml:space="preserve"> PAGEREF _2s8eyo1 \h </w:instrText>
          </w:r>
          <w:r>
            <w:fldChar w:fldCharType="separate"/>
          </w:r>
          <w:r>
            <w:rPr>
              <w:b/>
              <w:color w:val="000000"/>
            </w:rPr>
            <w:t>7</w:t>
          </w:r>
          <w:r>
            <w:fldChar w:fldCharType="end"/>
          </w:r>
        </w:p>
        <w:p w:rsidR="009F06CA" w:rsidRDefault="00D0425F">
          <w:pPr>
            <w:tabs>
              <w:tab w:val="right" w:pos="9030"/>
            </w:tabs>
            <w:spacing w:before="200" w:line="240" w:lineRule="auto"/>
            <w:rPr>
              <w:b/>
              <w:color w:val="000000"/>
            </w:rPr>
          </w:pPr>
          <w:hyperlink w:anchor="_17dp8vu">
            <w:r>
              <w:rPr>
                <w:b/>
                <w:color w:val="000000"/>
              </w:rPr>
              <w:t>Price data upload</w:t>
            </w:r>
          </w:hyperlink>
          <w:r>
            <w:rPr>
              <w:b/>
              <w:color w:val="000000"/>
            </w:rPr>
            <w:tab/>
          </w:r>
          <w:r>
            <w:fldChar w:fldCharType="begin"/>
          </w:r>
          <w:r>
            <w:instrText xml:space="preserve"> PAGEREF _17dp8vu \h </w:instrText>
          </w:r>
          <w:r>
            <w:fldChar w:fldCharType="separate"/>
          </w:r>
          <w:r>
            <w:rPr>
              <w:b/>
              <w:color w:val="000000"/>
            </w:rPr>
            <w:t>9</w:t>
          </w:r>
          <w:r>
            <w:fldChar w:fldCharType="end"/>
          </w:r>
        </w:p>
        <w:p w:rsidR="009F06CA" w:rsidRDefault="00D0425F">
          <w:pPr>
            <w:tabs>
              <w:tab w:val="right" w:pos="9030"/>
            </w:tabs>
            <w:spacing w:before="200" w:line="240" w:lineRule="auto"/>
            <w:rPr>
              <w:b/>
              <w:color w:val="000000"/>
            </w:rPr>
          </w:pPr>
          <w:hyperlink w:anchor="_2ldd8s27iz97">
            <w:r>
              <w:rPr>
                <w:b/>
                <w:color w:val="000000"/>
              </w:rPr>
              <w:t>Audit log</w:t>
            </w:r>
          </w:hyperlink>
          <w:r>
            <w:rPr>
              <w:b/>
              <w:color w:val="000000"/>
            </w:rPr>
            <w:tab/>
          </w:r>
          <w:r>
            <w:fldChar w:fldCharType="begin"/>
          </w:r>
          <w:r>
            <w:instrText xml:space="preserve"> PAGEREF _2ldd8s27iz97 \h </w:instrText>
          </w:r>
          <w:r>
            <w:fldChar w:fldCharType="separate"/>
          </w:r>
          <w:r>
            <w:rPr>
              <w:b/>
              <w:color w:val="000000"/>
            </w:rPr>
            <w:t>10</w:t>
          </w:r>
          <w:r>
            <w:fldChar w:fldCharType="end"/>
          </w:r>
        </w:p>
        <w:p w:rsidR="009F06CA" w:rsidRDefault="00D0425F">
          <w:pPr>
            <w:tabs>
              <w:tab w:val="right" w:pos="9030"/>
            </w:tabs>
            <w:spacing w:before="200" w:line="240" w:lineRule="auto"/>
            <w:rPr>
              <w:b/>
              <w:color w:val="000000"/>
            </w:rPr>
          </w:pPr>
          <w:hyperlink w:anchor="_twu092lc1kk7">
            <w:r>
              <w:rPr>
                <w:b/>
                <w:color w:val="000000"/>
              </w:rPr>
              <w:t>Weather corrected gas demands</w:t>
            </w:r>
          </w:hyperlink>
          <w:r>
            <w:rPr>
              <w:b/>
              <w:color w:val="000000"/>
            </w:rPr>
            <w:tab/>
          </w:r>
          <w:r>
            <w:fldChar w:fldCharType="begin"/>
          </w:r>
          <w:r>
            <w:instrText xml:space="preserve"> PAGEREF _twu092lc1kk7 \h </w:instrText>
          </w:r>
          <w:r>
            <w:fldChar w:fldCharType="separate"/>
          </w:r>
          <w:r>
            <w:rPr>
              <w:b/>
              <w:color w:val="000000"/>
            </w:rPr>
            <w:t>11</w:t>
          </w:r>
          <w:r>
            <w:fldChar w:fldCharType="end"/>
          </w:r>
        </w:p>
        <w:p w:rsidR="009F06CA" w:rsidRDefault="00D0425F">
          <w:pPr>
            <w:tabs>
              <w:tab w:val="right" w:pos="9030"/>
            </w:tabs>
            <w:spacing w:before="200" w:line="240" w:lineRule="auto"/>
            <w:rPr>
              <w:b/>
              <w:color w:val="000000"/>
            </w:rPr>
          </w:pPr>
          <w:hyperlink w:anchor="_c28tnegg10wh">
            <w:r>
              <w:rPr>
                <w:b/>
                <w:color w:val="000000"/>
              </w:rPr>
              <w:t>Risk report generation</w:t>
            </w:r>
          </w:hyperlink>
          <w:r>
            <w:rPr>
              <w:b/>
              <w:color w:val="000000"/>
            </w:rPr>
            <w:tab/>
          </w:r>
          <w:r>
            <w:fldChar w:fldCharType="begin"/>
          </w:r>
          <w:r>
            <w:instrText xml:space="preserve"> PAGEREF _c28tnegg10wh \h </w:instrText>
          </w:r>
          <w:r>
            <w:fldChar w:fldCharType="separate"/>
          </w:r>
          <w:r>
            <w:rPr>
              <w:b/>
              <w:color w:val="000000"/>
            </w:rPr>
            <w:t>12</w:t>
          </w:r>
          <w:r>
            <w:fldChar w:fldCharType="end"/>
          </w:r>
        </w:p>
        <w:p w:rsidR="009F06CA" w:rsidRDefault="00D0425F">
          <w:pPr>
            <w:tabs>
              <w:tab w:val="right" w:pos="9030"/>
            </w:tabs>
            <w:spacing w:before="200" w:line="240" w:lineRule="auto"/>
            <w:rPr>
              <w:b/>
              <w:color w:val="000000"/>
            </w:rPr>
          </w:pPr>
          <w:hyperlink w:anchor="_jxr568e3k19q">
            <w:r>
              <w:rPr>
                <w:b/>
                <w:color w:val="000000"/>
              </w:rPr>
              <w:t>Position calculation</w:t>
            </w:r>
          </w:hyperlink>
          <w:r>
            <w:rPr>
              <w:b/>
              <w:color w:val="000000"/>
            </w:rPr>
            <w:tab/>
          </w:r>
          <w:r>
            <w:fldChar w:fldCharType="begin"/>
          </w:r>
          <w:r>
            <w:instrText xml:space="preserve"> PAGEREF _jxr568e3k19q \h </w:instrText>
          </w:r>
          <w:r>
            <w:fldChar w:fldCharType="separate"/>
          </w:r>
          <w:r>
            <w:rPr>
              <w:b/>
              <w:color w:val="000000"/>
            </w:rPr>
            <w:t>12</w:t>
          </w:r>
          <w:r>
            <w:fldChar w:fldCharType="end"/>
          </w:r>
        </w:p>
        <w:p w:rsidR="009F06CA" w:rsidRDefault="00D0425F">
          <w:pPr>
            <w:tabs>
              <w:tab w:val="right" w:pos="9030"/>
            </w:tabs>
            <w:spacing w:before="200" w:line="240" w:lineRule="auto"/>
            <w:rPr>
              <w:b/>
              <w:color w:val="000000"/>
            </w:rPr>
          </w:pPr>
          <w:hyperlink w:anchor="_x95wfhc8b4uc">
            <w:r>
              <w:rPr>
                <w:b/>
                <w:color w:val="000000"/>
              </w:rPr>
              <w:t>Risk metrics and report creation</w:t>
            </w:r>
          </w:hyperlink>
          <w:r>
            <w:rPr>
              <w:b/>
              <w:color w:val="000000"/>
            </w:rPr>
            <w:tab/>
          </w:r>
          <w:r>
            <w:fldChar w:fldCharType="begin"/>
          </w:r>
          <w:r>
            <w:instrText xml:space="preserve"> PAGEREF _x95wfhc8b4uc \h </w:instrText>
          </w:r>
          <w:r>
            <w:fldChar w:fldCharType="separate"/>
          </w:r>
          <w:r>
            <w:rPr>
              <w:b/>
              <w:color w:val="000000"/>
            </w:rPr>
            <w:t>14</w:t>
          </w:r>
          <w:r>
            <w:fldChar w:fldCharType="end"/>
          </w:r>
        </w:p>
        <w:p w:rsidR="009F06CA" w:rsidRDefault="00D0425F">
          <w:pPr>
            <w:tabs>
              <w:tab w:val="right" w:pos="9030"/>
            </w:tabs>
            <w:spacing w:before="200" w:line="240" w:lineRule="auto"/>
            <w:rPr>
              <w:b/>
              <w:color w:val="000000"/>
            </w:rPr>
          </w:pPr>
          <w:hyperlink w:anchor="_26in1rg">
            <w:r>
              <w:rPr>
                <w:b/>
                <w:color w:val="000000"/>
              </w:rPr>
              <w:t>Compliance checks</w:t>
            </w:r>
          </w:hyperlink>
          <w:r>
            <w:rPr>
              <w:b/>
              <w:color w:val="000000"/>
            </w:rPr>
            <w:tab/>
          </w:r>
          <w:r>
            <w:fldChar w:fldCharType="begin"/>
          </w:r>
          <w:r>
            <w:instrText xml:space="preserve"> PAGEREF _26in1rg \h </w:instrText>
          </w:r>
          <w:r>
            <w:fldChar w:fldCharType="separate"/>
          </w:r>
          <w:r>
            <w:rPr>
              <w:b/>
              <w:color w:val="000000"/>
            </w:rPr>
            <w:t>15</w:t>
          </w:r>
          <w:r>
            <w:fldChar w:fldCharType="end"/>
          </w:r>
        </w:p>
        <w:p w:rsidR="009F06CA" w:rsidRDefault="00D0425F">
          <w:pPr>
            <w:tabs>
              <w:tab w:val="right" w:pos="9030"/>
            </w:tabs>
            <w:spacing w:before="200" w:line="240" w:lineRule="auto"/>
            <w:rPr>
              <w:b/>
              <w:color w:val="000000"/>
            </w:rPr>
          </w:pPr>
          <w:hyperlink w:anchor="_lnxbz9">
            <w:r>
              <w:rPr>
                <w:b/>
                <w:color w:val="000000"/>
              </w:rPr>
              <w:t>Risk reports and trading</w:t>
            </w:r>
          </w:hyperlink>
          <w:r>
            <w:rPr>
              <w:b/>
              <w:color w:val="000000"/>
            </w:rPr>
            <w:tab/>
          </w:r>
          <w:r>
            <w:fldChar w:fldCharType="begin"/>
          </w:r>
          <w:r>
            <w:instrText xml:space="preserve"> PAGEREF _lnxbz9 \h </w:instrText>
          </w:r>
          <w:r>
            <w:fldChar w:fldCharType="separate"/>
          </w:r>
          <w:r>
            <w:rPr>
              <w:b/>
              <w:color w:val="000000"/>
            </w:rPr>
            <w:t>15</w:t>
          </w:r>
          <w:r>
            <w:fldChar w:fldCharType="end"/>
          </w:r>
        </w:p>
        <w:p w:rsidR="009F06CA" w:rsidRDefault="00D0425F">
          <w:pPr>
            <w:tabs>
              <w:tab w:val="right" w:pos="9030"/>
            </w:tabs>
            <w:spacing w:before="200" w:line="240" w:lineRule="auto"/>
            <w:rPr>
              <w:b/>
              <w:color w:val="000000"/>
            </w:rPr>
          </w:pPr>
          <w:hyperlink w:anchor="_35nkun2">
            <w:r>
              <w:rPr>
                <w:b/>
                <w:color w:val="000000"/>
              </w:rPr>
              <w:t>Trading reports</w:t>
            </w:r>
          </w:hyperlink>
          <w:r>
            <w:rPr>
              <w:b/>
              <w:color w:val="000000"/>
            </w:rPr>
            <w:tab/>
          </w:r>
          <w:r>
            <w:fldChar w:fldCharType="begin"/>
          </w:r>
          <w:r>
            <w:instrText xml:space="preserve"> PAGEREF _</w:instrText>
          </w:r>
          <w:r>
            <w:instrText xml:space="preserve">35nkun2 \h </w:instrText>
          </w:r>
          <w:r>
            <w:fldChar w:fldCharType="separate"/>
          </w:r>
          <w:r>
            <w:rPr>
              <w:b/>
              <w:color w:val="000000"/>
            </w:rPr>
            <w:t>15</w:t>
          </w:r>
          <w:r>
            <w:fldChar w:fldCharType="end"/>
          </w:r>
        </w:p>
        <w:p w:rsidR="009F06CA" w:rsidRDefault="00D0425F">
          <w:pPr>
            <w:tabs>
              <w:tab w:val="right" w:pos="9030"/>
            </w:tabs>
            <w:spacing w:before="200" w:line="240" w:lineRule="auto"/>
            <w:rPr>
              <w:b/>
              <w:color w:val="000000"/>
            </w:rPr>
          </w:pPr>
          <w:hyperlink w:anchor="_1ksv4uv">
            <w:r>
              <w:rPr>
                <w:b/>
                <w:color w:val="000000"/>
              </w:rPr>
              <w:t>Trade entry</w:t>
            </w:r>
          </w:hyperlink>
          <w:r>
            <w:rPr>
              <w:b/>
              <w:color w:val="000000"/>
            </w:rPr>
            <w:tab/>
          </w:r>
          <w:r>
            <w:fldChar w:fldCharType="begin"/>
          </w:r>
          <w:r>
            <w:instrText xml:space="preserve"> PAGEREF _1ksv4uv \h </w:instrText>
          </w:r>
          <w:r>
            <w:fldChar w:fldCharType="separate"/>
          </w:r>
          <w:r>
            <w:rPr>
              <w:b/>
              <w:color w:val="000000"/>
            </w:rPr>
            <w:t>17</w:t>
          </w:r>
          <w:r>
            <w:fldChar w:fldCharType="end"/>
          </w:r>
        </w:p>
        <w:p w:rsidR="009F06CA" w:rsidRDefault="00D0425F">
          <w:pPr>
            <w:tabs>
              <w:tab w:val="right" w:pos="9030"/>
            </w:tabs>
            <w:spacing w:before="200" w:line="240" w:lineRule="auto"/>
            <w:rPr>
              <w:b/>
              <w:color w:val="000000"/>
            </w:rPr>
          </w:pPr>
          <w:hyperlink w:anchor="_44sinio">
            <w:r>
              <w:rPr>
                <w:b/>
                <w:color w:val="000000"/>
              </w:rPr>
              <w:t>Trade types</w:t>
            </w:r>
          </w:hyperlink>
          <w:r>
            <w:rPr>
              <w:b/>
              <w:color w:val="000000"/>
            </w:rPr>
            <w:tab/>
          </w:r>
          <w:r>
            <w:fldChar w:fldCharType="begin"/>
          </w:r>
          <w:r>
            <w:instrText xml:space="preserve"> PAGEREF _44sinio \h </w:instrText>
          </w:r>
          <w:r>
            <w:fldChar w:fldCharType="separate"/>
          </w:r>
          <w:r>
            <w:rPr>
              <w:b/>
              <w:color w:val="000000"/>
            </w:rPr>
            <w:t>18</w:t>
          </w:r>
          <w:r>
            <w:fldChar w:fldCharType="end"/>
          </w:r>
        </w:p>
        <w:p w:rsidR="009F06CA" w:rsidRDefault="00D0425F">
          <w:pPr>
            <w:tabs>
              <w:tab w:val="right" w:pos="9030"/>
            </w:tabs>
            <w:spacing w:before="200" w:line="240" w:lineRule="auto"/>
            <w:rPr>
              <w:b/>
              <w:color w:val="000000"/>
            </w:rPr>
          </w:pPr>
          <w:hyperlink w:anchor="_2jxsxqh">
            <w:r>
              <w:rPr>
                <w:b/>
                <w:color w:val="000000"/>
              </w:rPr>
              <w:t>Bulk trade upload</w:t>
            </w:r>
          </w:hyperlink>
          <w:r>
            <w:rPr>
              <w:b/>
              <w:color w:val="000000"/>
            </w:rPr>
            <w:tab/>
          </w:r>
          <w:r>
            <w:fldChar w:fldCharType="begin"/>
          </w:r>
          <w:r>
            <w:instrText xml:space="preserve"> PAGEREF _2jxsxqh</w:instrText>
          </w:r>
          <w:r>
            <w:instrText xml:space="preserve"> \h </w:instrText>
          </w:r>
          <w:r>
            <w:fldChar w:fldCharType="separate"/>
          </w:r>
          <w:r>
            <w:rPr>
              <w:b/>
              <w:color w:val="000000"/>
            </w:rPr>
            <w:t>19</w:t>
          </w:r>
          <w:r>
            <w:fldChar w:fldCharType="end"/>
          </w:r>
        </w:p>
        <w:p w:rsidR="009F06CA" w:rsidRDefault="00D0425F">
          <w:pPr>
            <w:tabs>
              <w:tab w:val="right" w:pos="9030"/>
            </w:tabs>
            <w:spacing w:before="200" w:line="240" w:lineRule="auto"/>
            <w:rPr>
              <w:b/>
              <w:color w:val="000000"/>
            </w:rPr>
          </w:pPr>
          <w:hyperlink w:anchor="_z337ya">
            <w:r>
              <w:rPr>
                <w:b/>
                <w:color w:val="000000"/>
              </w:rPr>
              <w:t>Trade repository</w:t>
            </w:r>
          </w:hyperlink>
          <w:r>
            <w:rPr>
              <w:b/>
              <w:color w:val="000000"/>
            </w:rPr>
            <w:tab/>
          </w:r>
          <w:r>
            <w:fldChar w:fldCharType="begin"/>
          </w:r>
          <w:r>
            <w:instrText xml:space="preserve"> PAGEREF _z337ya \h </w:instrText>
          </w:r>
          <w:r>
            <w:fldChar w:fldCharType="separate"/>
          </w:r>
          <w:r>
            <w:rPr>
              <w:b/>
              <w:color w:val="000000"/>
            </w:rPr>
            <w:t>19</w:t>
          </w:r>
          <w:r>
            <w:fldChar w:fldCharType="end"/>
          </w:r>
        </w:p>
        <w:p w:rsidR="009F06CA" w:rsidRDefault="00D0425F">
          <w:pPr>
            <w:tabs>
              <w:tab w:val="right" w:pos="9030"/>
            </w:tabs>
            <w:spacing w:before="200" w:line="240" w:lineRule="auto"/>
            <w:rPr>
              <w:b/>
              <w:color w:val="000000"/>
            </w:rPr>
          </w:pPr>
          <w:hyperlink w:anchor="_3j2qqm3">
            <w:r>
              <w:rPr>
                <w:b/>
                <w:color w:val="000000"/>
              </w:rPr>
              <w:t>Trade statuses</w:t>
            </w:r>
          </w:hyperlink>
          <w:r>
            <w:rPr>
              <w:b/>
              <w:color w:val="000000"/>
            </w:rPr>
            <w:tab/>
          </w:r>
          <w:r>
            <w:fldChar w:fldCharType="begin"/>
          </w:r>
          <w:r>
            <w:instrText xml:space="preserve"> PAGEREF </w:instrText>
          </w:r>
          <w:r>
            <w:instrText xml:space="preserve">_3j2qqm3 \h </w:instrText>
          </w:r>
          <w:r>
            <w:fldChar w:fldCharType="separate"/>
          </w:r>
          <w:r>
            <w:rPr>
              <w:b/>
              <w:color w:val="000000"/>
            </w:rPr>
            <w:t>19</w:t>
          </w:r>
          <w:r>
            <w:fldChar w:fldCharType="end"/>
          </w:r>
        </w:p>
        <w:p w:rsidR="009F06CA" w:rsidRDefault="00D0425F">
          <w:pPr>
            <w:tabs>
              <w:tab w:val="right" w:pos="9030"/>
            </w:tabs>
            <w:spacing w:before="200" w:line="240" w:lineRule="auto"/>
            <w:rPr>
              <w:b/>
              <w:color w:val="000000"/>
            </w:rPr>
          </w:pPr>
          <w:hyperlink w:anchor="_54bpgac6nixu">
            <w:r>
              <w:rPr>
                <w:b/>
                <w:color w:val="000000"/>
              </w:rPr>
              <w:t>Exclusions from scope</w:t>
            </w:r>
          </w:hyperlink>
          <w:r>
            <w:rPr>
              <w:b/>
              <w:color w:val="000000"/>
            </w:rPr>
            <w:tab/>
          </w:r>
          <w:r>
            <w:fldChar w:fldCharType="begin"/>
          </w:r>
          <w:r>
            <w:instrText xml:space="preserve"> PAGEREF _54bpgac6nixu \h </w:instrText>
          </w:r>
          <w:r>
            <w:fldChar w:fldCharType="separate"/>
          </w:r>
          <w:r>
            <w:rPr>
              <w:b/>
              <w:color w:val="000000"/>
            </w:rPr>
            <w:t>21</w:t>
          </w:r>
          <w:r>
            <w:fldChar w:fldCharType="end"/>
          </w:r>
        </w:p>
        <w:p w:rsidR="009F06CA" w:rsidRDefault="00D0425F">
          <w:pPr>
            <w:tabs>
              <w:tab w:val="right" w:pos="9030"/>
            </w:tabs>
            <w:spacing w:before="200" w:line="240" w:lineRule="auto"/>
            <w:rPr>
              <w:b/>
              <w:color w:val="000000"/>
            </w:rPr>
          </w:pPr>
          <w:hyperlink w:anchor="_1y810tw">
            <w:r>
              <w:rPr>
                <w:b/>
                <w:color w:val="000000"/>
              </w:rPr>
              <w:t>Appendix 1: Price curve loading example</w:t>
            </w:r>
          </w:hyperlink>
          <w:r>
            <w:rPr>
              <w:b/>
              <w:color w:val="000000"/>
            </w:rPr>
            <w:tab/>
          </w:r>
          <w:r>
            <w:fldChar w:fldCharType="begin"/>
          </w:r>
          <w:r>
            <w:instrText xml:space="preserve"> PAGEREF _1y810tw \h </w:instrText>
          </w:r>
          <w:r>
            <w:fldChar w:fldCharType="separate"/>
          </w:r>
          <w:r>
            <w:rPr>
              <w:b/>
              <w:color w:val="000000"/>
            </w:rPr>
            <w:t>22</w:t>
          </w:r>
          <w:r>
            <w:fldChar w:fldCharType="end"/>
          </w:r>
        </w:p>
        <w:p w:rsidR="009F06CA" w:rsidRDefault="00D0425F">
          <w:pPr>
            <w:tabs>
              <w:tab w:val="right" w:pos="9030"/>
            </w:tabs>
            <w:spacing w:before="200" w:line="240" w:lineRule="auto"/>
            <w:rPr>
              <w:b/>
              <w:color w:val="000000"/>
            </w:rPr>
          </w:pPr>
          <w:hyperlink w:anchor="_1fohhxvlul01">
            <w:r>
              <w:rPr>
                <w:b/>
                <w:color w:val="000000"/>
              </w:rPr>
              <w:t>Appendix 2: Sample power and gas query outputs</w:t>
            </w:r>
          </w:hyperlink>
          <w:r>
            <w:rPr>
              <w:b/>
              <w:color w:val="000000"/>
            </w:rPr>
            <w:tab/>
          </w:r>
          <w:r>
            <w:fldChar w:fldCharType="begin"/>
          </w:r>
          <w:r>
            <w:instrText xml:space="preserve"> PAGEREF _1fohhxvlul01 \h </w:instrText>
          </w:r>
          <w:r>
            <w:fldChar w:fldCharType="separate"/>
          </w:r>
          <w:r>
            <w:rPr>
              <w:b/>
              <w:color w:val="000000"/>
            </w:rPr>
            <w:t>24</w:t>
          </w:r>
          <w:r>
            <w:fldChar w:fldCharType="end"/>
          </w:r>
        </w:p>
        <w:p w:rsidR="009F06CA" w:rsidRDefault="00D0425F">
          <w:pPr>
            <w:tabs>
              <w:tab w:val="right" w:pos="9030"/>
            </w:tabs>
            <w:spacing w:before="200" w:line="240" w:lineRule="auto"/>
            <w:rPr>
              <w:b/>
              <w:color w:val="000000"/>
            </w:rPr>
          </w:pPr>
          <w:hyperlink w:anchor="_1ci93xb">
            <w:r>
              <w:rPr>
                <w:b/>
                <w:color w:val="000000"/>
              </w:rPr>
              <w:t>Appendix 3: Volatility and CaR formulas</w:t>
            </w:r>
          </w:hyperlink>
          <w:r>
            <w:rPr>
              <w:b/>
              <w:color w:val="000000"/>
            </w:rPr>
            <w:tab/>
          </w:r>
          <w:r>
            <w:fldChar w:fldCharType="begin"/>
          </w:r>
          <w:r>
            <w:instrText xml:space="preserve"> PAGEREF _1ci93xb \h </w:instrText>
          </w:r>
          <w:r>
            <w:fldChar w:fldCharType="separate"/>
          </w:r>
          <w:r>
            <w:rPr>
              <w:b/>
              <w:color w:val="000000"/>
            </w:rPr>
            <w:t>27</w:t>
          </w:r>
          <w:r>
            <w:fldChar w:fldCharType="end"/>
          </w:r>
        </w:p>
        <w:p w:rsidR="009F06CA" w:rsidRDefault="00D0425F">
          <w:pPr>
            <w:tabs>
              <w:tab w:val="right" w:pos="9030"/>
            </w:tabs>
            <w:spacing w:before="200" w:line="240" w:lineRule="auto"/>
            <w:rPr>
              <w:b/>
              <w:color w:val="000000"/>
            </w:rPr>
          </w:pPr>
          <w:hyperlink w:anchor="_sk4eky4d8aam">
            <w:r>
              <w:rPr>
                <w:b/>
                <w:color w:val="000000"/>
              </w:rPr>
              <w:t>Appendix 5: Basket hierarchy</w:t>
            </w:r>
          </w:hyperlink>
          <w:r>
            <w:rPr>
              <w:b/>
              <w:color w:val="000000"/>
            </w:rPr>
            <w:tab/>
          </w:r>
          <w:r>
            <w:fldChar w:fldCharType="begin"/>
          </w:r>
          <w:r>
            <w:instrText xml:space="preserve"> PAGEREF _sk4eky4d8aam \h </w:instrText>
          </w:r>
          <w:r>
            <w:fldChar w:fldCharType="separate"/>
          </w:r>
          <w:r>
            <w:rPr>
              <w:b/>
              <w:color w:val="000000"/>
            </w:rPr>
            <w:t>30</w:t>
          </w:r>
          <w:r>
            <w:fldChar w:fldCharType="end"/>
          </w:r>
        </w:p>
        <w:p w:rsidR="009F06CA" w:rsidRDefault="00D0425F">
          <w:pPr>
            <w:tabs>
              <w:tab w:val="right" w:pos="9030"/>
            </w:tabs>
            <w:spacing w:before="200" w:line="240" w:lineRule="auto"/>
            <w:rPr>
              <w:b/>
              <w:color w:val="000000"/>
            </w:rPr>
          </w:pPr>
          <w:hyperlink w:anchor="_xh27ann85hgk">
            <w:r>
              <w:rPr>
                <w:b/>
                <w:color w:val="000000"/>
              </w:rPr>
              <w:t>Appendix 6: Data flows (normal, optimisation and gas actualisation)</w:t>
            </w:r>
          </w:hyperlink>
          <w:r>
            <w:rPr>
              <w:b/>
              <w:color w:val="000000"/>
            </w:rPr>
            <w:tab/>
          </w:r>
          <w:r>
            <w:fldChar w:fldCharType="begin"/>
          </w:r>
          <w:r>
            <w:instrText xml:space="preserve"> PAGEREF _xh27ann85hgk \h </w:instrText>
          </w:r>
          <w:r>
            <w:fldChar w:fldCharType="separate"/>
          </w:r>
          <w:r>
            <w:rPr>
              <w:b/>
              <w:color w:val="000000"/>
            </w:rPr>
            <w:t>31</w:t>
          </w:r>
          <w:r>
            <w:fldChar w:fldCharType="end"/>
          </w:r>
        </w:p>
        <w:p w:rsidR="009F06CA" w:rsidRDefault="00D0425F">
          <w:pPr>
            <w:tabs>
              <w:tab w:val="right" w:pos="9030"/>
            </w:tabs>
            <w:spacing w:before="200" w:after="80" w:line="240" w:lineRule="auto"/>
            <w:rPr>
              <w:b/>
              <w:color w:val="000000"/>
            </w:rPr>
          </w:pPr>
          <w:hyperlink w:anchor="_1vu9hzs42p29">
            <w:r>
              <w:rPr>
                <w:b/>
                <w:color w:val="000000"/>
              </w:rPr>
              <w:t>Appendix 7: User Access Control Privileges Example</w:t>
            </w:r>
          </w:hyperlink>
          <w:r>
            <w:rPr>
              <w:b/>
              <w:color w:val="000000"/>
            </w:rPr>
            <w:tab/>
          </w:r>
          <w:r>
            <w:fldChar w:fldCharType="begin"/>
          </w:r>
          <w:r>
            <w:instrText xml:space="preserve"> PAGEREF _1vu9hzs42p29 \h </w:instrText>
          </w:r>
          <w:r>
            <w:fldChar w:fldCharType="separate"/>
          </w:r>
          <w:r>
            <w:rPr>
              <w:b/>
              <w:color w:val="000000"/>
            </w:rPr>
            <w:t>32</w:t>
          </w:r>
          <w:r>
            <w:fldChar w:fldCharType="end"/>
          </w:r>
          <w:r>
            <w:fldChar w:fldCharType="end"/>
          </w:r>
        </w:p>
      </w:sdtContent>
    </w:sdt>
    <w:p w:rsidR="009F06CA" w:rsidRDefault="00D0425F">
      <w:pPr>
        <w:pStyle w:val="Heading1"/>
      </w:pPr>
      <w:bookmarkStart w:id="7" w:name="_19lmh31y4lvg" w:colFirst="0" w:colLast="0"/>
      <w:bookmarkEnd w:id="7"/>
      <w:r>
        <w:br w:type="page"/>
      </w:r>
    </w:p>
    <w:p w:rsidR="009F06CA" w:rsidRDefault="00D0425F">
      <w:pPr>
        <w:pStyle w:val="Heading1"/>
      </w:pPr>
      <w:bookmarkStart w:id="8" w:name="_z2ti7py1sdf9" w:colFirst="0" w:colLast="0"/>
      <w:bookmarkEnd w:id="8"/>
      <w:r>
        <w:lastRenderedPageBreak/>
        <w:t>Background</w:t>
      </w:r>
    </w:p>
    <w:p w:rsidR="009F06CA" w:rsidRDefault="00D0425F">
      <w:r>
        <w:t>CCS purchases power and gas on behalf of a large portfolio of pub</w:t>
      </w:r>
      <w:r>
        <w:t>lic sector customers.</w:t>
      </w:r>
    </w:p>
    <w:p w:rsidR="009F06CA" w:rsidRDefault="00D0425F">
      <w:r>
        <w:t>CCS have contracts (framework agreements) with several suppliers, which cover provision of gas, half-hourly electricity and non-half-hourly electricity. Current suppliers are EDF (HH &amp; NHH electricity), British Gas (NHH electricity), Total (gas) and Corona</w:t>
      </w:r>
      <w:r>
        <w:t xml:space="preserve"> (gas). CCS also provides trading and risk services to third parties.</w:t>
      </w:r>
    </w:p>
    <w:p w:rsidR="009F06CA" w:rsidRDefault="00D0425F">
      <w:r>
        <w:t>Within CCS, the Commodities and Innovation Team (CIT) is responsible for the management of the energy hedges. Within CIT there are two sub-teams: Energy Trading, and Risk.</w:t>
      </w:r>
    </w:p>
    <w:p w:rsidR="009F06CA" w:rsidRDefault="00D0425F">
      <w:pPr>
        <w:pStyle w:val="Heading1"/>
      </w:pPr>
      <w:bookmarkStart w:id="9" w:name="_1fob9te" w:colFirst="0" w:colLast="0"/>
      <w:bookmarkEnd w:id="9"/>
      <w:r>
        <w:t>CCS energy bas</w:t>
      </w:r>
      <w:r>
        <w:t>kets</w:t>
      </w:r>
    </w:p>
    <w:p w:rsidR="009F06CA" w:rsidRDefault="00D0425F">
      <w:r>
        <w:t>The CCS energy portfolio is divided up into a number of ‘baskets’. Each basket is an aggregate of the energy requireme</w:t>
      </w:r>
      <w:bookmarkStart w:id="10" w:name="_GoBack"/>
      <w:bookmarkEnd w:id="10"/>
      <w:r>
        <w:t>nts of a number of customers, and is traded as a completely separate entity from all others.</w:t>
      </w:r>
    </w:p>
    <w:p w:rsidR="009F06CA" w:rsidRDefault="00D0425F">
      <w:r>
        <w:t xml:space="preserve">There are three main criteria that make </w:t>
      </w:r>
      <w:r>
        <w:t xml:space="preserve">each basket unique: </w:t>
      </w:r>
    </w:p>
    <w:p w:rsidR="009F06CA" w:rsidRDefault="00D0425F">
      <w:pPr>
        <w:numPr>
          <w:ilvl w:val="0"/>
          <w:numId w:val="5"/>
        </w:numPr>
        <w:pBdr>
          <w:top w:val="nil"/>
          <w:left w:val="nil"/>
          <w:bottom w:val="nil"/>
          <w:right w:val="nil"/>
          <w:between w:val="nil"/>
        </w:pBdr>
        <w:spacing w:after="0"/>
        <w:rPr>
          <w:color w:val="000000"/>
        </w:rPr>
      </w:pPr>
      <w:r>
        <w:rPr>
          <w:color w:val="000000"/>
        </w:rPr>
        <w:t>The basket delivery window</w:t>
      </w:r>
    </w:p>
    <w:p w:rsidR="009F06CA" w:rsidRDefault="00D0425F">
      <w:pPr>
        <w:pBdr>
          <w:top w:val="nil"/>
          <w:left w:val="nil"/>
          <w:bottom w:val="nil"/>
          <w:right w:val="nil"/>
          <w:between w:val="nil"/>
        </w:pBdr>
        <w:spacing w:after="0"/>
        <w:ind w:left="720"/>
        <w:rPr>
          <w:color w:val="000000"/>
        </w:rPr>
      </w:pPr>
      <w:r>
        <w:rPr>
          <w:color w:val="000000"/>
        </w:rPr>
        <w:t>(typic</w:t>
      </w:r>
      <w:r>
        <w:t xml:space="preserve">ally </w:t>
      </w:r>
      <w:r>
        <w:rPr>
          <w:color w:val="000000"/>
        </w:rPr>
        <w:t>12 months, starting in April or October)</w:t>
      </w:r>
    </w:p>
    <w:p w:rsidR="009F06CA" w:rsidRDefault="00D0425F">
      <w:pPr>
        <w:numPr>
          <w:ilvl w:val="0"/>
          <w:numId w:val="13"/>
        </w:numPr>
        <w:pBdr>
          <w:top w:val="nil"/>
          <w:left w:val="nil"/>
          <w:bottom w:val="nil"/>
          <w:right w:val="nil"/>
          <w:between w:val="nil"/>
        </w:pBdr>
        <w:spacing w:after="0"/>
        <w:rPr>
          <w:color w:val="000000"/>
        </w:rPr>
      </w:pPr>
      <w:r>
        <w:rPr>
          <w:color w:val="000000"/>
        </w:rPr>
        <w:t>The commodity</w:t>
      </w:r>
    </w:p>
    <w:p w:rsidR="009F06CA" w:rsidRDefault="00D0425F">
      <w:pPr>
        <w:pBdr>
          <w:top w:val="nil"/>
          <w:left w:val="nil"/>
          <w:bottom w:val="nil"/>
          <w:right w:val="nil"/>
          <w:between w:val="nil"/>
        </w:pBdr>
        <w:spacing w:after="0"/>
        <w:ind w:left="720"/>
        <w:rPr>
          <w:color w:val="000000"/>
        </w:rPr>
      </w:pPr>
      <w:r>
        <w:rPr>
          <w:color w:val="000000"/>
        </w:rPr>
        <w:t>(either gas or electricity)</w:t>
      </w:r>
    </w:p>
    <w:p w:rsidR="009F06CA" w:rsidRDefault="00D0425F">
      <w:pPr>
        <w:numPr>
          <w:ilvl w:val="0"/>
          <w:numId w:val="2"/>
        </w:numPr>
        <w:pBdr>
          <w:top w:val="nil"/>
          <w:left w:val="nil"/>
          <w:bottom w:val="nil"/>
          <w:right w:val="nil"/>
          <w:between w:val="nil"/>
        </w:pBdr>
        <w:spacing w:after="0"/>
        <w:rPr>
          <w:color w:val="000000"/>
        </w:rPr>
      </w:pPr>
      <w:r>
        <w:rPr>
          <w:color w:val="000000"/>
        </w:rPr>
        <w:t>The risk management strategy</w:t>
      </w:r>
    </w:p>
    <w:p w:rsidR="009F06CA" w:rsidRDefault="00D0425F">
      <w:pPr>
        <w:pBdr>
          <w:top w:val="nil"/>
          <w:left w:val="nil"/>
          <w:bottom w:val="nil"/>
          <w:right w:val="nil"/>
          <w:between w:val="nil"/>
        </w:pBdr>
        <w:spacing w:after="0"/>
        <w:ind w:left="720"/>
        <w:rPr>
          <w:color w:val="000000"/>
        </w:rPr>
      </w:pPr>
      <w:r>
        <w:rPr>
          <w:color w:val="000000"/>
        </w:rPr>
        <w:t xml:space="preserve">(determines the purchasing window for the basket and the risk controls applied during it) </w:t>
      </w:r>
    </w:p>
    <w:p w:rsidR="009F06CA" w:rsidRDefault="009F06CA">
      <w:pPr>
        <w:pBdr>
          <w:top w:val="nil"/>
          <w:left w:val="nil"/>
          <w:bottom w:val="nil"/>
          <w:right w:val="nil"/>
          <w:between w:val="nil"/>
        </w:pBdr>
        <w:spacing w:after="0"/>
      </w:pPr>
    </w:p>
    <w:p w:rsidR="009F06CA" w:rsidRDefault="00D0425F">
      <w:pPr>
        <w:pBdr>
          <w:top w:val="nil"/>
          <w:left w:val="nil"/>
          <w:bottom w:val="nil"/>
          <w:right w:val="nil"/>
          <w:between w:val="nil"/>
        </w:pBdr>
        <w:spacing w:after="0"/>
      </w:pPr>
      <w:r>
        <w:t>In addition, some baskets:</w:t>
      </w:r>
    </w:p>
    <w:p w:rsidR="009F06CA" w:rsidRDefault="00D0425F">
      <w:pPr>
        <w:numPr>
          <w:ilvl w:val="0"/>
          <w:numId w:val="10"/>
        </w:numPr>
        <w:pBdr>
          <w:top w:val="nil"/>
          <w:left w:val="nil"/>
          <w:bottom w:val="nil"/>
          <w:right w:val="nil"/>
          <w:between w:val="nil"/>
        </w:pBdr>
        <w:spacing w:after="0"/>
      </w:pPr>
      <w:r>
        <w:t>Are restricted to specific meter types</w:t>
      </w:r>
    </w:p>
    <w:p w:rsidR="009F06CA" w:rsidRDefault="00D0425F">
      <w:pPr>
        <w:numPr>
          <w:ilvl w:val="0"/>
          <w:numId w:val="10"/>
        </w:numPr>
        <w:pBdr>
          <w:top w:val="nil"/>
          <w:left w:val="nil"/>
          <w:bottom w:val="nil"/>
          <w:right w:val="nil"/>
          <w:between w:val="nil"/>
        </w:pBdr>
        <w:spacing w:after="0"/>
      </w:pPr>
      <w:r>
        <w:t>Are restricted to specific customer groups (e.g. central government or wider public sector)</w:t>
      </w:r>
    </w:p>
    <w:p w:rsidR="009F06CA" w:rsidRDefault="009F06CA">
      <w:pPr>
        <w:pBdr>
          <w:top w:val="nil"/>
          <w:left w:val="nil"/>
          <w:bottom w:val="nil"/>
          <w:right w:val="nil"/>
          <w:between w:val="nil"/>
        </w:pBdr>
        <w:spacing w:after="0"/>
      </w:pPr>
    </w:p>
    <w:p w:rsidR="009F06CA" w:rsidRDefault="00D0425F">
      <w:r>
        <w:t>There is a unique basket for each combination of delivery window, commodity, and risk management strategy. Each CCS basket will have a name such as ‘Gas Apr 20 V6’. The name tells us that this basket:</w:t>
      </w:r>
    </w:p>
    <w:p w:rsidR="009F06CA" w:rsidRDefault="00D0425F">
      <w:pPr>
        <w:numPr>
          <w:ilvl w:val="0"/>
          <w:numId w:val="9"/>
        </w:numPr>
        <w:pBdr>
          <w:top w:val="nil"/>
          <w:left w:val="nil"/>
          <w:bottom w:val="nil"/>
          <w:right w:val="nil"/>
          <w:between w:val="nil"/>
        </w:pBdr>
        <w:spacing w:after="0"/>
        <w:rPr>
          <w:color w:val="000000"/>
        </w:rPr>
      </w:pPr>
      <w:r>
        <w:rPr>
          <w:color w:val="000000"/>
        </w:rPr>
        <w:t>Is for delivery of gas.</w:t>
      </w:r>
    </w:p>
    <w:p w:rsidR="009F06CA" w:rsidRDefault="00D0425F">
      <w:pPr>
        <w:numPr>
          <w:ilvl w:val="0"/>
          <w:numId w:val="9"/>
        </w:numPr>
        <w:pBdr>
          <w:top w:val="nil"/>
          <w:left w:val="nil"/>
          <w:bottom w:val="nil"/>
          <w:right w:val="nil"/>
          <w:between w:val="nil"/>
        </w:pBdr>
        <w:spacing w:after="0"/>
      </w:pPr>
      <w:r>
        <w:rPr>
          <w:color w:val="000000"/>
        </w:rPr>
        <w:t>Will deliver for 12 months star</w:t>
      </w:r>
      <w:r>
        <w:rPr>
          <w:color w:val="000000"/>
        </w:rPr>
        <w:t>ting from 1</w:t>
      </w:r>
      <w:r>
        <w:rPr>
          <w:color w:val="000000"/>
          <w:vertAlign w:val="superscript"/>
        </w:rPr>
        <w:t>st</w:t>
      </w:r>
      <w:r>
        <w:rPr>
          <w:color w:val="000000"/>
        </w:rPr>
        <w:t xml:space="preserve"> April 2020.</w:t>
      </w:r>
    </w:p>
    <w:p w:rsidR="009F06CA" w:rsidRDefault="00D0425F">
      <w:pPr>
        <w:numPr>
          <w:ilvl w:val="0"/>
          <w:numId w:val="9"/>
        </w:numPr>
        <w:pBdr>
          <w:top w:val="nil"/>
          <w:left w:val="nil"/>
          <w:bottom w:val="nil"/>
          <w:right w:val="nil"/>
          <w:between w:val="nil"/>
        </w:pBdr>
        <w:spacing w:after="0"/>
      </w:pPr>
      <w:r>
        <w:rPr>
          <w:color w:val="000000"/>
        </w:rPr>
        <w:t>Will be hedged according to the ‘V6’ risk management strategy.</w:t>
      </w:r>
    </w:p>
    <w:p w:rsidR="009F06CA" w:rsidRDefault="00D0425F">
      <w:pPr>
        <w:numPr>
          <w:ilvl w:val="0"/>
          <w:numId w:val="9"/>
        </w:numPr>
        <w:pBdr>
          <w:top w:val="nil"/>
          <w:left w:val="nil"/>
          <w:bottom w:val="nil"/>
          <w:right w:val="nil"/>
          <w:between w:val="nil"/>
        </w:pBdr>
      </w:pPr>
      <w:r>
        <w:t>Has no meter type or customer restrictions.</w:t>
      </w:r>
    </w:p>
    <w:p w:rsidR="009F06CA" w:rsidRDefault="00D0425F">
      <w:pPr>
        <w:pStyle w:val="Heading1"/>
      </w:pPr>
      <w:bookmarkStart w:id="11" w:name="_3znysh7" w:colFirst="0" w:colLast="0"/>
      <w:bookmarkEnd w:id="11"/>
      <w:r>
        <w:t>Risk management strategies</w:t>
      </w:r>
    </w:p>
    <w:p w:rsidR="009F06CA" w:rsidRDefault="00D0425F">
      <w:r>
        <w:t>There are currently four risk management strategies in operation by CCS. When a customer joins CCS they are provided with information about the risk management strategies and asked to choose one based on their risk appetite, desired outcomes and the time t</w:t>
      </w:r>
      <w:r>
        <w:t>hey are willing to commit for.</w:t>
      </w:r>
    </w:p>
    <w:p w:rsidR="009F06CA" w:rsidRDefault="00D0425F">
      <w:r>
        <w:t>Strategy names consist of a letter (either ‘V’ or ‘L’) and a number (6, 12, or 30). The letter determines whether a basket is ‘locked’ or ‘variable’.</w:t>
      </w:r>
    </w:p>
    <w:p w:rsidR="009F06CA" w:rsidRDefault="00D0425F">
      <w:pPr>
        <w:numPr>
          <w:ilvl w:val="0"/>
          <w:numId w:val="9"/>
        </w:numPr>
        <w:pBdr>
          <w:top w:val="nil"/>
          <w:left w:val="nil"/>
          <w:bottom w:val="nil"/>
          <w:right w:val="nil"/>
          <w:between w:val="nil"/>
        </w:pBdr>
        <w:spacing w:after="0"/>
      </w:pPr>
      <w:r>
        <w:rPr>
          <w:color w:val="000000"/>
        </w:rPr>
        <w:t>For a locked basket, the entire basket volume requirement is purchased prio</w:t>
      </w:r>
      <w:r>
        <w:rPr>
          <w:color w:val="000000"/>
        </w:rPr>
        <w:t>r to the basket delivery window commencing.</w:t>
      </w:r>
    </w:p>
    <w:p w:rsidR="009F06CA" w:rsidRDefault="00D0425F">
      <w:pPr>
        <w:numPr>
          <w:ilvl w:val="0"/>
          <w:numId w:val="9"/>
        </w:numPr>
        <w:pBdr>
          <w:top w:val="nil"/>
          <w:left w:val="nil"/>
          <w:bottom w:val="nil"/>
          <w:right w:val="nil"/>
          <w:between w:val="nil"/>
        </w:pBdr>
      </w:pPr>
      <w:r>
        <w:rPr>
          <w:color w:val="000000"/>
        </w:rPr>
        <w:t>For a variable basket, volume can be purchased at any time, right up until the point that it is due to be delivered.</w:t>
      </w:r>
    </w:p>
    <w:p w:rsidR="009F06CA" w:rsidRDefault="00D0425F">
      <w:r>
        <w:lastRenderedPageBreak/>
        <w:t>The number in the strategy name is the number of months prior to delivery commencing that the h</w:t>
      </w:r>
      <w:r>
        <w:t>edge opens for trading. For example, purchasing for an April ‘20 L6 or V6 will begin 6 months earlier, in October ‘19. For an April ‘20 V30, it will begin 30 months earlier, in October ‘17.</w:t>
      </w:r>
    </w:p>
    <w:p w:rsidR="009F06CA" w:rsidRDefault="00D0425F">
      <w:r>
        <w:t>The four risk management strategies available are:</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4"/>
        <w:gridCol w:w="2254"/>
        <w:gridCol w:w="2254"/>
        <w:gridCol w:w="2254"/>
      </w:tblGrid>
      <w:tr w:rsidR="009F06CA">
        <w:tc>
          <w:tcPr>
            <w:tcW w:w="2254" w:type="dxa"/>
            <w:shd w:val="clear" w:color="auto" w:fill="0070C0"/>
            <w:vAlign w:val="center"/>
          </w:tcPr>
          <w:p w:rsidR="009F06CA" w:rsidRDefault="00D0425F">
            <w:pPr>
              <w:jc w:val="center"/>
              <w:rPr>
                <w:b/>
                <w:color w:val="FFFFFF"/>
              </w:rPr>
            </w:pPr>
            <w:r>
              <w:rPr>
                <w:b/>
                <w:color w:val="FFFFFF"/>
              </w:rPr>
              <w:t>Basket strategy</w:t>
            </w:r>
          </w:p>
        </w:tc>
        <w:tc>
          <w:tcPr>
            <w:tcW w:w="2254" w:type="dxa"/>
            <w:shd w:val="clear" w:color="auto" w:fill="0070C0"/>
            <w:vAlign w:val="center"/>
          </w:tcPr>
          <w:p w:rsidR="009F06CA" w:rsidRDefault="00D0425F">
            <w:pPr>
              <w:jc w:val="center"/>
              <w:rPr>
                <w:b/>
                <w:color w:val="FFFFFF"/>
              </w:rPr>
            </w:pPr>
            <w:r>
              <w:rPr>
                <w:b/>
                <w:color w:val="FFFFFF"/>
              </w:rPr>
              <w:t>Locked / variable</w:t>
            </w:r>
          </w:p>
        </w:tc>
        <w:tc>
          <w:tcPr>
            <w:tcW w:w="2254" w:type="dxa"/>
            <w:shd w:val="clear" w:color="auto" w:fill="0070C0"/>
            <w:vAlign w:val="center"/>
          </w:tcPr>
          <w:p w:rsidR="009F06CA" w:rsidRDefault="00D0425F">
            <w:pPr>
              <w:jc w:val="center"/>
              <w:rPr>
                <w:b/>
                <w:color w:val="FFFFFF"/>
              </w:rPr>
            </w:pPr>
            <w:r>
              <w:rPr>
                <w:b/>
                <w:color w:val="FFFFFF"/>
              </w:rPr>
              <w:t>Purchasing window ahead of delivery (months)</w:t>
            </w:r>
          </w:p>
        </w:tc>
        <w:tc>
          <w:tcPr>
            <w:tcW w:w="2254" w:type="dxa"/>
            <w:shd w:val="clear" w:color="auto" w:fill="0070C0"/>
            <w:vAlign w:val="center"/>
          </w:tcPr>
          <w:p w:rsidR="009F06CA" w:rsidRDefault="00D0425F">
            <w:pPr>
              <w:jc w:val="center"/>
              <w:rPr>
                <w:b/>
                <w:color w:val="FFFFFF"/>
              </w:rPr>
            </w:pPr>
            <w:r>
              <w:rPr>
                <w:b/>
                <w:color w:val="FFFFFF"/>
              </w:rPr>
              <w:t>Total purchasing window (including during delivery)</w:t>
            </w:r>
          </w:p>
        </w:tc>
      </w:tr>
      <w:tr w:rsidR="009F06CA">
        <w:tc>
          <w:tcPr>
            <w:tcW w:w="2254" w:type="dxa"/>
            <w:vAlign w:val="center"/>
          </w:tcPr>
          <w:p w:rsidR="009F06CA" w:rsidRDefault="00D0425F">
            <w:r>
              <w:t>L6</w:t>
            </w:r>
          </w:p>
        </w:tc>
        <w:tc>
          <w:tcPr>
            <w:tcW w:w="2254" w:type="dxa"/>
            <w:vAlign w:val="center"/>
          </w:tcPr>
          <w:p w:rsidR="009F06CA" w:rsidRDefault="00D0425F">
            <w:pPr>
              <w:jc w:val="center"/>
            </w:pPr>
            <w:r>
              <w:t>Locked</w:t>
            </w:r>
          </w:p>
        </w:tc>
        <w:tc>
          <w:tcPr>
            <w:tcW w:w="2254" w:type="dxa"/>
            <w:vAlign w:val="center"/>
          </w:tcPr>
          <w:p w:rsidR="009F06CA" w:rsidRDefault="00D0425F">
            <w:pPr>
              <w:jc w:val="center"/>
            </w:pPr>
            <w:r>
              <w:t>6</w:t>
            </w:r>
          </w:p>
        </w:tc>
        <w:tc>
          <w:tcPr>
            <w:tcW w:w="2254" w:type="dxa"/>
            <w:vAlign w:val="center"/>
          </w:tcPr>
          <w:p w:rsidR="009F06CA" w:rsidRDefault="00D0425F">
            <w:pPr>
              <w:jc w:val="center"/>
            </w:pPr>
            <w:r>
              <w:t>6</w:t>
            </w:r>
          </w:p>
        </w:tc>
      </w:tr>
      <w:tr w:rsidR="009F06CA">
        <w:tc>
          <w:tcPr>
            <w:tcW w:w="2254" w:type="dxa"/>
            <w:vAlign w:val="center"/>
          </w:tcPr>
          <w:p w:rsidR="009F06CA" w:rsidRDefault="00D0425F">
            <w:r>
              <w:t>L12</w:t>
            </w:r>
          </w:p>
        </w:tc>
        <w:tc>
          <w:tcPr>
            <w:tcW w:w="2254" w:type="dxa"/>
            <w:vAlign w:val="center"/>
          </w:tcPr>
          <w:p w:rsidR="009F06CA" w:rsidRDefault="00D0425F">
            <w:pPr>
              <w:jc w:val="center"/>
            </w:pPr>
            <w:r>
              <w:t>Locked</w:t>
            </w:r>
          </w:p>
        </w:tc>
        <w:tc>
          <w:tcPr>
            <w:tcW w:w="2254" w:type="dxa"/>
            <w:vAlign w:val="center"/>
          </w:tcPr>
          <w:p w:rsidR="009F06CA" w:rsidRDefault="00D0425F">
            <w:pPr>
              <w:jc w:val="center"/>
            </w:pPr>
            <w:r>
              <w:t>12</w:t>
            </w:r>
          </w:p>
        </w:tc>
        <w:tc>
          <w:tcPr>
            <w:tcW w:w="2254" w:type="dxa"/>
            <w:vAlign w:val="center"/>
          </w:tcPr>
          <w:p w:rsidR="009F06CA" w:rsidRDefault="00D0425F">
            <w:pPr>
              <w:jc w:val="center"/>
            </w:pPr>
            <w:r>
              <w:t>12</w:t>
            </w:r>
          </w:p>
        </w:tc>
      </w:tr>
      <w:tr w:rsidR="009F06CA">
        <w:tc>
          <w:tcPr>
            <w:tcW w:w="2254" w:type="dxa"/>
            <w:vAlign w:val="center"/>
          </w:tcPr>
          <w:p w:rsidR="009F06CA" w:rsidRDefault="00D0425F">
            <w:r>
              <w:t>V6</w:t>
            </w:r>
          </w:p>
        </w:tc>
        <w:tc>
          <w:tcPr>
            <w:tcW w:w="2254" w:type="dxa"/>
            <w:vAlign w:val="center"/>
          </w:tcPr>
          <w:p w:rsidR="009F06CA" w:rsidRDefault="00D0425F">
            <w:pPr>
              <w:jc w:val="center"/>
            </w:pPr>
            <w:r>
              <w:t>Variable</w:t>
            </w:r>
          </w:p>
        </w:tc>
        <w:tc>
          <w:tcPr>
            <w:tcW w:w="2254" w:type="dxa"/>
            <w:vAlign w:val="center"/>
          </w:tcPr>
          <w:p w:rsidR="009F06CA" w:rsidRDefault="00D0425F">
            <w:pPr>
              <w:jc w:val="center"/>
            </w:pPr>
            <w:r>
              <w:t>6</w:t>
            </w:r>
          </w:p>
        </w:tc>
        <w:tc>
          <w:tcPr>
            <w:tcW w:w="2254" w:type="dxa"/>
            <w:vAlign w:val="center"/>
          </w:tcPr>
          <w:p w:rsidR="009F06CA" w:rsidRDefault="00D0425F">
            <w:pPr>
              <w:jc w:val="center"/>
            </w:pPr>
            <w:r>
              <w:t>18</w:t>
            </w:r>
          </w:p>
        </w:tc>
      </w:tr>
      <w:tr w:rsidR="009F06CA">
        <w:tc>
          <w:tcPr>
            <w:tcW w:w="2254" w:type="dxa"/>
            <w:vAlign w:val="center"/>
          </w:tcPr>
          <w:p w:rsidR="009F06CA" w:rsidRDefault="00D0425F">
            <w:r>
              <w:t>V30</w:t>
            </w:r>
          </w:p>
        </w:tc>
        <w:tc>
          <w:tcPr>
            <w:tcW w:w="2254" w:type="dxa"/>
            <w:vAlign w:val="center"/>
          </w:tcPr>
          <w:p w:rsidR="009F06CA" w:rsidRDefault="00D0425F">
            <w:pPr>
              <w:jc w:val="center"/>
            </w:pPr>
            <w:r>
              <w:t>Variable</w:t>
            </w:r>
          </w:p>
        </w:tc>
        <w:tc>
          <w:tcPr>
            <w:tcW w:w="2254" w:type="dxa"/>
            <w:vAlign w:val="center"/>
          </w:tcPr>
          <w:p w:rsidR="009F06CA" w:rsidRDefault="00D0425F">
            <w:pPr>
              <w:jc w:val="center"/>
            </w:pPr>
            <w:r>
              <w:t>30</w:t>
            </w:r>
          </w:p>
        </w:tc>
        <w:tc>
          <w:tcPr>
            <w:tcW w:w="2254" w:type="dxa"/>
            <w:vAlign w:val="center"/>
          </w:tcPr>
          <w:p w:rsidR="009F06CA" w:rsidRDefault="00D0425F">
            <w:pPr>
              <w:jc w:val="center"/>
            </w:pPr>
            <w:r>
              <w:t>42</w:t>
            </w:r>
          </w:p>
        </w:tc>
      </w:tr>
    </w:tbl>
    <w:p w:rsidR="009F06CA" w:rsidRDefault="009F06CA">
      <w:pPr>
        <w:pStyle w:val="Heading2"/>
      </w:pPr>
    </w:p>
    <w:p w:rsidR="009F06CA" w:rsidRDefault="00D0425F">
      <w:r>
        <w:t>It is important to distinguish between baskets and risk management strategies. There are only four risk management strategies currently in use by CCS, but each strategy may be used by many baskets.</w:t>
      </w:r>
    </w:p>
    <w:p w:rsidR="009F06CA" w:rsidRDefault="00D0425F">
      <w:r>
        <w:t xml:space="preserve">Both CCS staff and customers commonly refer to baskets by </w:t>
      </w:r>
      <w:r>
        <w:t>their strategy name. If you were to ask a customer what basket they are in, they would generally reply (for example) “We’re in the V30.” However, from a trading point of view, there is no ‘V30’ basket. A more technically correct answer would be “We’re in t</w:t>
      </w:r>
      <w:r>
        <w:t>wo baskets: the Apr ’20 V30 baskets for both gas and half-hourly electricity. When those baskets expire at the end of March ’21, we’ll roll over to the Apr ’21 V30 baskets for both.”</w:t>
      </w:r>
    </w:p>
    <w:p w:rsidR="009F06CA" w:rsidRDefault="00D0425F">
      <w:pPr>
        <w:pStyle w:val="Heading1"/>
      </w:pPr>
      <w:bookmarkStart w:id="12" w:name="_2et92p0" w:colFirst="0" w:colLast="0"/>
      <w:bookmarkEnd w:id="12"/>
      <w:r>
        <w:t>Baskets summary</w:t>
      </w:r>
    </w:p>
    <w:p w:rsidR="009F06CA" w:rsidRDefault="00D0425F">
      <w:r>
        <w:t>There is a unique basket for every combination of deliver</w:t>
      </w:r>
      <w:r>
        <w:t>y window, commodity and risk management strategy.</w:t>
      </w:r>
    </w:p>
    <w:p w:rsidR="009F06CA" w:rsidRDefault="00D0425F">
      <w:r>
        <w:t>In addition, some of the larger baskets have been split into separate CG (central government) and WPS (wider public sector) baskets to make them easier to manage.</w:t>
      </w:r>
    </w:p>
    <w:p w:rsidR="009F06CA" w:rsidRDefault="00D0425F">
      <w:r>
        <w:t xml:space="preserve">The result of this is that CCS is actively </w:t>
      </w:r>
      <w:r>
        <w:t>trading a relatively high number of baskets at any given time. For example, baskets currently being hedged include:</w:t>
      </w:r>
    </w:p>
    <w:tbl>
      <w:tblPr>
        <w:tblStyle w:val="a0"/>
        <w:tblW w:w="7655" w:type="dxa"/>
        <w:tblInd w:w="-5" w:type="dxa"/>
        <w:tblLayout w:type="fixed"/>
        <w:tblLook w:val="0400" w:firstRow="0" w:lastRow="0" w:firstColumn="0" w:lastColumn="0" w:noHBand="0" w:noVBand="1"/>
      </w:tblPr>
      <w:tblGrid>
        <w:gridCol w:w="2551"/>
        <w:gridCol w:w="2552"/>
        <w:gridCol w:w="2552"/>
      </w:tblGrid>
      <w:tr w:rsidR="009F06CA">
        <w:trPr>
          <w:trHeight w:val="300"/>
        </w:trPr>
        <w:tc>
          <w:tcPr>
            <w:tcW w:w="2551" w:type="dxa"/>
            <w:tcBorders>
              <w:top w:val="single" w:sz="4" w:space="0" w:color="000000"/>
              <w:left w:val="single" w:sz="4" w:space="0" w:color="000000"/>
              <w:bottom w:val="single" w:sz="4" w:space="0" w:color="000000"/>
              <w:right w:val="single" w:sz="4" w:space="0" w:color="000000"/>
            </w:tcBorders>
            <w:shd w:val="clear" w:color="auto" w:fill="0070C0"/>
            <w:vAlign w:val="bottom"/>
          </w:tcPr>
          <w:p w:rsidR="009F06CA" w:rsidRDefault="00D0425F">
            <w:pPr>
              <w:spacing w:after="0" w:line="240" w:lineRule="auto"/>
              <w:rPr>
                <w:b/>
                <w:color w:val="FFFFFF"/>
              </w:rPr>
            </w:pPr>
            <w:r>
              <w:rPr>
                <w:b/>
                <w:color w:val="FFFFFF"/>
              </w:rPr>
              <w:t>Gas</w:t>
            </w:r>
          </w:p>
        </w:tc>
        <w:tc>
          <w:tcPr>
            <w:tcW w:w="2552" w:type="dxa"/>
            <w:tcBorders>
              <w:top w:val="single" w:sz="4" w:space="0" w:color="000000"/>
              <w:left w:val="nil"/>
              <w:bottom w:val="single" w:sz="4" w:space="0" w:color="000000"/>
              <w:right w:val="single" w:sz="4" w:space="0" w:color="000000"/>
            </w:tcBorders>
            <w:shd w:val="clear" w:color="auto" w:fill="0070C0"/>
            <w:vAlign w:val="bottom"/>
          </w:tcPr>
          <w:p w:rsidR="009F06CA" w:rsidRDefault="00D0425F">
            <w:pPr>
              <w:spacing w:after="0" w:line="240" w:lineRule="auto"/>
              <w:rPr>
                <w:b/>
                <w:color w:val="FFFFFF"/>
              </w:rPr>
            </w:pPr>
            <w:r>
              <w:rPr>
                <w:b/>
                <w:color w:val="FFFFFF"/>
              </w:rPr>
              <w:t>Half hourly</w:t>
            </w:r>
          </w:p>
        </w:tc>
        <w:tc>
          <w:tcPr>
            <w:tcW w:w="2552" w:type="dxa"/>
            <w:tcBorders>
              <w:top w:val="single" w:sz="4" w:space="0" w:color="000000"/>
              <w:left w:val="nil"/>
              <w:bottom w:val="single" w:sz="4" w:space="0" w:color="000000"/>
              <w:right w:val="single" w:sz="4" w:space="0" w:color="000000"/>
            </w:tcBorders>
            <w:shd w:val="clear" w:color="auto" w:fill="0070C0"/>
            <w:vAlign w:val="bottom"/>
          </w:tcPr>
          <w:p w:rsidR="009F06CA" w:rsidRDefault="00D0425F">
            <w:pPr>
              <w:spacing w:after="0" w:line="240" w:lineRule="auto"/>
              <w:rPr>
                <w:b/>
                <w:color w:val="FFFFFF"/>
              </w:rPr>
            </w:pPr>
            <w:r>
              <w:rPr>
                <w:b/>
                <w:color w:val="FFFFFF"/>
              </w:rPr>
              <w:t>Non-half hourly</w:t>
            </w:r>
          </w:p>
        </w:tc>
      </w:tr>
      <w:tr w:rsidR="009F06CA">
        <w:trPr>
          <w:trHeight w:val="300"/>
        </w:trPr>
        <w:tc>
          <w:tcPr>
            <w:tcW w:w="255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Gas Apr 19 V6</w:t>
            </w:r>
          </w:p>
        </w:tc>
        <w:tc>
          <w:tcPr>
            <w:tcW w:w="255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HH Apr 19 V6</w:t>
            </w:r>
          </w:p>
        </w:tc>
        <w:tc>
          <w:tcPr>
            <w:tcW w:w="255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NHH Apr 20 L6</w:t>
            </w:r>
          </w:p>
        </w:tc>
      </w:tr>
      <w:tr w:rsidR="009F06CA">
        <w:trPr>
          <w:trHeight w:val="300"/>
        </w:trPr>
        <w:tc>
          <w:tcPr>
            <w:tcW w:w="255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Gas Apr 20 L6</w:t>
            </w:r>
          </w:p>
        </w:tc>
        <w:tc>
          <w:tcPr>
            <w:tcW w:w="255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HH Apr 20 L6</w:t>
            </w:r>
          </w:p>
        </w:tc>
        <w:tc>
          <w:tcPr>
            <w:tcW w:w="255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NHH Apr 20 L12</w:t>
            </w:r>
          </w:p>
        </w:tc>
      </w:tr>
      <w:tr w:rsidR="009F06CA">
        <w:trPr>
          <w:trHeight w:val="300"/>
        </w:trPr>
        <w:tc>
          <w:tcPr>
            <w:tcW w:w="255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Gas Apr 20 V6</w:t>
            </w:r>
          </w:p>
        </w:tc>
        <w:tc>
          <w:tcPr>
            <w:tcW w:w="255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HH Apr 20 V6</w:t>
            </w:r>
          </w:p>
        </w:tc>
        <w:tc>
          <w:tcPr>
            <w:tcW w:w="255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 </w:t>
            </w:r>
          </w:p>
        </w:tc>
      </w:tr>
      <w:tr w:rsidR="009F06CA">
        <w:trPr>
          <w:trHeight w:val="300"/>
        </w:trPr>
        <w:tc>
          <w:tcPr>
            <w:tcW w:w="255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Gas Apr 20 L12</w:t>
            </w:r>
          </w:p>
        </w:tc>
        <w:tc>
          <w:tcPr>
            <w:tcW w:w="255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HH Apr 19 V30 CG </w:t>
            </w:r>
          </w:p>
        </w:tc>
        <w:tc>
          <w:tcPr>
            <w:tcW w:w="255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 </w:t>
            </w:r>
          </w:p>
        </w:tc>
      </w:tr>
      <w:tr w:rsidR="009F06CA">
        <w:trPr>
          <w:trHeight w:val="300"/>
        </w:trPr>
        <w:tc>
          <w:tcPr>
            <w:tcW w:w="255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Gas Apr 19 V30</w:t>
            </w:r>
          </w:p>
        </w:tc>
        <w:tc>
          <w:tcPr>
            <w:tcW w:w="255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HH Apr 20 V30 CG</w:t>
            </w:r>
          </w:p>
        </w:tc>
        <w:tc>
          <w:tcPr>
            <w:tcW w:w="255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 </w:t>
            </w:r>
          </w:p>
        </w:tc>
      </w:tr>
      <w:tr w:rsidR="009F06CA">
        <w:trPr>
          <w:trHeight w:val="300"/>
        </w:trPr>
        <w:tc>
          <w:tcPr>
            <w:tcW w:w="255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Gas Apr 20 V30</w:t>
            </w:r>
          </w:p>
        </w:tc>
        <w:tc>
          <w:tcPr>
            <w:tcW w:w="255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HH Apr 21 V30 CG</w:t>
            </w:r>
          </w:p>
        </w:tc>
        <w:tc>
          <w:tcPr>
            <w:tcW w:w="255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 </w:t>
            </w:r>
          </w:p>
        </w:tc>
      </w:tr>
      <w:tr w:rsidR="009F06CA">
        <w:trPr>
          <w:trHeight w:val="300"/>
        </w:trPr>
        <w:tc>
          <w:tcPr>
            <w:tcW w:w="255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Gas Apr 21 V30</w:t>
            </w:r>
          </w:p>
        </w:tc>
        <w:tc>
          <w:tcPr>
            <w:tcW w:w="255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HH Apr 22 V30 CG</w:t>
            </w:r>
          </w:p>
        </w:tc>
        <w:tc>
          <w:tcPr>
            <w:tcW w:w="255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 </w:t>
            </w:r>
          </w:p>
        </w:tc>
      </w:tr>
      <w:tr w:rsidR="009F06CA">
        <w:trPr>
          <w:trHeight w:val="300"/>
        </w:trPr>
        <w:tc>
          <w:tcPr>
            <w:tcW w:w="255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Gas Apr 22 V30</w:t>
            </w:r>
          </w:p>
        </w:tc>
        <w:tc>
          <w:tcPr>
            <w:tcW w:w="255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HH Apr 19 V30 WPS</w:t>
            </w:r>
          </w:p>
        </w:tc>
        <w:tc>
          <w:tcPr>
            <w:tcW w:w="255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 </w:t>
            </w:r>
          </w:p>
        </w:tc>
      </w:tr>
      <w:tr w:rsidR="009F06CA">
        <w:trPr>
          <w:trHeight w:val="300"/>
        </w:trPr>
        <w:tc>
          <w:tcPr>
            <w:tcW w:w="255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 </w:t>
            </w:r>
          </w:p>
        </w:tc>
        <w:tc>
          <w:tcPr>
            <w:tcW w:w="255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HH Apr 20 V30 WPS</w:t>
            </w:r>
          </w:p>
        </w:tc>
        <w:tc>
          <w:tcPr>
            <w:tcW w:w="255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 </w:t>
            </w:r>
          </w:p>
        </w:tc>
      </w:tr>
      <w:tr w:rsidR="009F06CA">
        <w:trPr>
          <w:trHeight w:val="300"/>
        </w:trPr>
        <w:tc>
          <w:tcPr>
            <w:tcW w:w="255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 </w:t>
            </w:r>
          </w:p>
        </w:tc>
        <w:tc>
          <w:tcPr>
            <w:tcW w:w="255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HH Apr 21 V30 WPS</w:t>
            </w:r>
          </w:p>
        </w:tc>
        <w:tc>
          <w:tcPr>
            <w:tcW w:w="255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 </w:t>
            </w:r>
          </w:p>
        </w:tc>
      </w:tr>
      <w:tr w:rsidR="009F06CA">
        <w:trPr>
          <w:trHeight w:val="300"/>
        </w:trPr>
        <w:tc>
          <w:tcPr>
            <w:tcW w:w="255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 </w:t>
            </w:r>
          </w:p>
        </w:tc>
        <w:tc>
          <w:tcPr>
            <w:tcW w:w="255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HH Apr 22 V30 WPS</w:t>
            </w:r>
          </w:p>
        </w:tc>
        <w:tc>
          <w:tcPr>
            <w:tcW w:w="255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 </w:t>
            </w:r>
          </w:p>
        </w:tc>
      </w:tr>
    </w:tbl>
    <w:p w:rsidR="009F06CA" w:rsidRDefault="009F06CA"/>
    <w:p w:rsidR="009F06CA" w:rsidRDefault="00D0425F">
      <w:r>
        <w:t>As well as the CCS baskets, there are also baskets for third party organisations that CCS provide trading services for, and ‘dummy’ baskets used by the risk team for benchmarking.</w:t>
      </w:r>
    </w:p>
    <w:p w:rsidR="009F06CA" w:rsidRDefault="00D0425F">
      <w:r>
        <w:lastRenderedPageBreak/>
        <w:t>At present, CCS is hedging 33 ‘live’ baskets, not incl</w:t>
      </w:r>
      <w:r>
        <w:t>uding benchmarking dummy baskets. There are a comparable number of ‘inactive’ baskets that have completed hedging for each past delivery year going back to 2008, which gives a total of around 350. This number increases each April and October, as the next w</w:t>
      </w:r>
      <w:r>
        <w:t>ave of baskets opens for trading.</w:t>
      </w:r>
    </w:p>
    <w:p w:rsidR="009F06CA" w:rsidRDefault="00D0425F">
      <w:r>
        <w:t>A diagram of the hierarchical structure of baskets is provided in Appendix 5.</w:t>
      </w:r>
    </w:p>
    <w:p w:rsidR="009F06CA" w:rsidRDefault="00D0425F">
      <w:pPr>
        <w:pStyle w:val="Heading1"/>
      </w:pPr>
      <w:bookmarkStart w:id="13" w:name="_tyjcwt" w:colFirst="0" w:colLast="0"/>
      <w:bookmarkEnd w:id="13"/>
      <w:r>
        <w:t>Energy trading system</w:t>
      </w:r>
    </w:p>
    <w:p w:rsidR="009F06CA" w:rsidRDefault="00D0425F">
      <w:r>
        <w:t>The key system used by the Commodities and Innovation team during management of the energy hedges is the Energy Trading Sy</w:t>
      </w:r>
      <w:r>
        <w:t>stem (ETS). This is a specialised system used to record the details of the various baskets, and the trades that are placed to meet the volume requirements for each.</w:t>
      </w:r>
    </w:p>
    <w:p w:rsidR="009F06CA" w:rsidRDefault="00D0425F">
      <w:r>
        <w:t>The current ETS is accessed through a web browser interface, with reporting provided via Mi</w:t>
      </w:r>
      <w:r>
        <w:t>crosoft SQL Server Reporting Services (SSRS). In addition, the system is configured to allow comprehensive data extraction either manually by users or by use of SQL queries, which are primarily used for rapid semi-automated extraction of data into Excel fo</w:t>
      </w:r>
      <w:r>
        <w:t>r offline analysis.</w:t>
      </w:r>
    </w:p>
    <w:p w:rsidR="009F06CA" w:rsidRDefault="00D0425F">
      <w:r>
        <w:t>Each member of the Trading and Risk teams is registered as a user on the ETS. The system allows each user’s account to be configured with different abilities and permissions. A series of job role templates (e.g. ‘trader’, ‘risk analyst’</w:t>
      </w:r>
      <w:r>
        <w:t>) are configured to allow the correct permissions to be quickly set for new users. However, it is possible to override the ‘job role’ settings for each individual user and set up bespoke permissions.</w:t>
      </w:r>
    </w:p>
    <w:p w:rsidR="009F06CA" w:rsidRDefault="00D0425F">
      <w:r>
        <w:t>Day-to-day management of the ETS is the responsibility o</w:t>
      </w:r>
      <w:r>
        <w:t>f the Risk team, with the Head of Risk configured as the top level admin with full permissions. CCS IT teams and the system supplier provide additional ad-hoc support where required.</w:t>
      </w:r>
    </w:p>
    <w:p w:rsidR="009F06CA" w:rsidRDefault="00D0425F">
      <w:pPr>
        <w:pStyle w:val="Heading1"/>
      </w:pPr>
      <w:bookmarkStart w:id="14" w:name="_3dy6vkm" w:colFirst="0" w:colLast="0"/>
      <w:bookmarkEnd w:id="14"/>
      <w:r>
        <w:t xml:space="preserve">System configuration </w:t>
      </w:r>
    </w:p>
    <w:p w:rsidR="009F06CA" w:rsidRDefault="00D0425F">
      <w:r>
        <w:t>The ETS was configured at deployment to provide the</w:t>
      </w:r>
      <w:r>
        <w:t xml:space="preserve"> functionality required by CCS.</w:t>
      </w:r>
    </w:p>
    <w:p w:rsidR="009F06CA" w:rsidRDefault="00D0425F">
      <w:r>
        <w:t>This included setting up the basic parameters of the system:</w:t>
      </w:r>
    </w:p>
    <w:p w:rsidR="009F06CA" w:rsidRDefault="00D0425F">
      <w:pPr>
        <w:numPr>
          <w:ilvl w:val="0"/>
          <w:numId w:val="9"/>
        </w:numPr>
        <w:pBdr>
          <w:top w:val="nil"/>
          <w:left w:val="nil"/>
          <w:bottom w:val="nil"/>
          <w:right w:val="nil"/>
          <w:between w:val="nil"/>
        </w:pBdr>
        <w:spacing w:after="0"/>
      </w:pPr>
      <w:r>
        <w:rPr>
          <w:color w:val="000000"/>
        </w:rPr>
        <w:t>Commodities (UK gas and power)</w:t>
      </w:r>
    </w:p>
    <w:p w:rsidR="009F06CA" w:rsidRDefault="00D0425F">
      <w:pPr>
        <w:numPr>
          <w:ilvl w:val="0"/>
          <w:numId w:val="9"/>
        </w:numPr>
        <w:pBdr>
          <w:top w:val="nil"/>
          <w:left w:val="nil"/>
          <w:bottom w:val="nil"/>
          <w:right w:val="nil"/>
          <w:between w:val="nil"/>
        </w:pBdr>
        <w:spacing w:after="0"/>
      </w:pPr>
      <w:r>
        <w:rPr>
          <w:color w:val="000000"/>
        </w:rPr>
        <w:t>Calendars (Gregorian and EFA)</w:t>
      </w:r>
    </w:p>
    <w:p w:rsidR="009F06CA" w:rsidRDefault="00D0425F">
      <w:pPr>
        <w:numPr>
          <w:ilvl w:val="0"/>
          <w:numId w:val="9"/>
        </w:numPr>
        <w:pBdr>
          <w:top w:val="nil"/>
          <w:left w:val="nil"/>
          <w:bottom w:val="nil"/>
          <w:right w:val="nil"/>
          <w:between w:val="nil"/>
        </w:pBdr>
        <w:spacing w:after="0"/>
      </w:pPr>
      <w:r>
        <w:rPr>
          <w:color w:val="000000"/>
        </w:rPr>
        <w:t>Product shapes (baseload, peakload, off-peak, EFA blocks)</w:t>
      </w:r>
    </w:p>
    <w:p w:rsidR="009F06CA" w:rsidRDefault="00D0425F">
      <w:pPr>
        <w:numPr>
          <w:ilvl w:val="0"/>
          <w:numId w:val="9"/>
        </w:numPr>
        <w:pBdr>
          <w:top w:val="nil"/>
          <w:left w:val="nil"/>
          <w:bottom w:val="nil"/>
          <w:right w:val="nil"/>
          <w:between w:val="nil"/>
        </w:pBdr>
      </w:pPr>
      <w:r>
        <w:rPr>
          <w:color w:val="000000"/>
        </w:rPr>
        <w:t>Delivery windows (all UK OTC tradable products, including within day</w:t>
      </w:r>
      <w:r>
        <w:t xml:space="preserve">, individual </w:t>
      </w:r>
      <w:r>
        <w:rPr>
          <w:color w:val="000000"/>
        </w:rPr>
        <w:t>days, week, month, quarter and season, with the option to enter custom trades when needed)</w:t>
      </w:r>
    </w:p>
    <w:p w:rsidR="009F06CA" w:rsidRDefault="00D0425F">
      <w:r>
        <w:t>In addition, the system was configured with all the necessary structures to align wi</w:t>
      </w:r>
      <w:r>
        <w:t>th the CCS way of working:</w:t>
      </w:r>
    </w:p>
    <w:p w:rsidR="009F06CA" w:rsidRDefault="00D0425F">
      <w:pPr>
        <w:numPr>
          <w:ilvl w:val="0"/>
          <w:numId w:val="9"/>
        </w:numPr>
        <w:pBdr>
          <w:top w:val="nil"/>
          <w:left w:val="nil"/>
          <w:bottom w:val="nil"/>
          <w:right w:val="nil"/>
          <w:between w:val="nil"/>
        </w:pBdr>
        <w:spacing w:after="0"/>
      </w:pPr>
      <w:r>
        <w:rPr>
          <w:color w:val="000000"/>
        </w:rPr>
        <w:t>Houses (</w:t>
      </w:r>
      <w:r>
        <w:t xml:space="preserve">to differentiate between CCS positions and trades and those </w:t>
      </w:r>
      <w:r>
        <w:rPr>
          <w:color w:val="000000"/>
        </w:rPr>
        <w:t>of the other organisations we trade on behalf of)</w:t>
      </w:r>
    </w:p>
    <w:p w:rsidR="009F06CA" w:rsidRDefault="00D0425F">
      <w:pPr>
        <w:numPr>
          <w:ilvl w:val="0"/>
          <w:numId w:val="9"/>
        </w:numPr>
        <w:pBdr>
          <w:top w:val="nil"/>
          <w:left w:val="nil"/>
          <w:bottom w:val="nil"/>
          <w:right w:val="nil"/>
          <w:between w:val="nil"/>
        </w:pBdr>
        <w:spacing w:after="0"/>
      </w:pPr>
      <w:r>
        <w:rPr>
          <w:color w:val="000000"/>
        </w:rPr>
        <w:t>Baskets (trade books)</w:t>
      </w:r>
    </w:p>
    <w:p w:rsidR="009F06CA" w:rsidRDefault="00D0425F">
      <w:pPr>
        <w:numPr>
          <w:ilvl w:val="0"/>
          <w:numId w:val="9"/>
        </w:numPr>
        <w:pBdr>
          <w:top w:val="nil"/>
          <w:left w:val="nil"/>
          <w:bottom w:val="nil"/>
          <w:right w:val="nil"/>
          <w:between w:val="nil"/>
        </w:pBdr>
        <w:spacing w:after="0"/>
      </w:pPr>
      <w:r>
        <w:rPr>
          <w:color w:val="000000"/>
        </w:rPr>
        <w:t>Demand forecasts / purchasing requirements</w:t>
      </w:r>
    </w:p>
    <w:p w:rsidR="009F06CA" w:rsidRDefault="00D0425F">
      <w:pPr>
        <w:numPr>
          <w:ilvl w:val="0"/>
          <w:numId w:val="9"/>
        </w:numPr>
        <w:pBdr>
          <w:top w:val="nil"/>
          <w:left w:val="nil"/>
          <w:bottom w:val="nil"/>
          <w:right w:val="nil"/>
          <w:between w:val="nil"/>
        </w:pBdr>
        <w:spacing w:after="0"/>
      </w:pPr>
      <w:r>
        <w:rPr>
          <w:color w:val="000000"/>
        </w:rPr>
        <w:t>Separation of gas actualisation</w:t>
      </w:r>
    </w:p>
    <w:p w:rsidR="009F06CA" w:rsidRDefault="00D0425F">
      <w:pPr>
        <w:numPr>
          <w:ilvl w:val="0"/>
          <w:numId w:val="9"/>
        </w:numPr>
        <w:pBdr>
          <w:top w:val="nil"/>
          <w:left w:val="nil"/>
          <w:bottom w:val="nil"/>
          <w:right w:val="nil"/>
          <w:between w:val="nil"/>
        </w:pBdr>
        <w:spacing w:after="0"/>
      </w:pPr>
      <w:r>
        <w:rPr>
          <w:color w:val="000000"/>
        </w:rPr>
        <w:t xml:space="preserve">Separation of </w:t>
      </w:r>
      <w:r>
        <w:rPr>
          <w:color w:val="000000"/>
        </w:rPr>
        <w:t>optimisat</w:t>
      </w:r>
      <w:r>
        <w:t>ion</w:t>
      </w:r>
      <w:r>
        <w:rPr>
          <w:color w:val="000000"/>
        </w:rPr>
        <w:t xml:space="preserve"> trades</w:t>
      </w:r>
    </w:p>
    <w:p w:rsidR="009F06CA" w:rsidRDefault="00D0425F">
      <w:pPr>
        <w:numPr>
          <w:ilvl w:val="0"/>
          <w:numId w:val="9"/>
        </w:numPr>
        <w:pBdr>
          <w:top w:val="nil"/>
          <w:left w:val="nil"/>
          <w:bottom w:val="nil"/>
          <w:right w:val="nil"/>
          <w:between w:val="nil"/>
        </w:pBdr>
      </w:pPr>
      <w:r>
        <w:rPr>
          <w:color w:val="000000"/>
        </w:rPr>
        <w:t>Multi-stage trade approval process</w:t>
      </w:r>
    </w:p>
    <w:p w:rsidR="009F06CA" w:rsidRDefault="00D0425F">
      <w:pPr>
        <w:numPr>
          <w:ilvl w:val="0"/>
          <w:numId w:val="9"/>
        </w:numPr>
        <w:pBdr>
          <w:top w:val="nil"/>
          <w:left w:val="nil"/>
          <w:bottom w:val="nil"/>
          <w:right w:val="nil"/>
          <w:between w:val="nil"/>
        </w:pBdr>
      </w:pPr>
      <w:r>
        <w:t>Clearly defined user roles with controlled access permissions</w:t>
      </w:r>
    </w:p>
    <w:p w:rsidR="009F06CA" w:rsidRDefault="00D0425F">
      <w:pPr>
        <w:pStyle w:val="Heading1"/>
      </w:pPr>
      <w:bookmarkStart w:id="15" w:name="_1t3h5sf" w:colFirst="0" w:colLast="0"/>
      <w:bookmarkEnd w:id="15"/>
      <w:r>
        <w:t>Basket creation</w:t>
      </w:r>
    </w:p>
    <w:p w:rsidR="009F06CA" w:rsidRDefault="00D0425F">
      <w:r>
        <w:t>Prior to trading commencing for a basket, the Risk team set the basket up on the ETS.</w:t>
      </w:r>
    </w:p>
    <w:p w:rsidR="009F06CA" w:rsidRDefault="00D0425F">
      <w:r>
        <w:lastRenderedPageBreak/>
        <w:t>This includes creating the basket, de</w:t>
      </w:r>
      <w:r>
        <w:t>fining its name, setting the commodity it is to be used for, and defining other parameters and permissions, such as which user roles can edit the basket or enter trades.</w:t>
      </w:r>
    </w:p>
    <w:p w:rsidR="009F06CA" w:rsidRDefault="00D0425F">
      <w:r>
        <w:t>The ETS has a flag for each basket which defines whether it is “active” or “inactive”.</w:t>
      </w:r>
      <w:r>
        <w:t xml:space="preserve"> Typically, Risk will create baskets on the system some time in advance of trading commencing, and flag the basket as inactive. On the first day of trading, Risk will mark the basket as active, to allow the traders to begin purchasing. Whilst the basket is</w:t>
      </w:r>
      <w:r>
        <w:t xml:space="preserve"> inactive, it is not available in trade entry screens.</w:t>
      </w:r>
    </w:p>
    <w:p w:rsidR="009F06CA" w:rsidRDefault="00D0425F">
      <w:r>
        <w:t>A diagram of the hierarchical structure of baskets is provided in Appendix 5.</w:t>
      </w:r>
    </w:p>
    <w:p w:rsidR="009F06CA" w:rsidRDefault="00D0425F">
      <w:pPr>
        <w:pStyle w:val="Heading1"/>
      </w:pPr>
      <w:bookmarkStart w:id="16" w:name="_4d34og8" w:colFirst="0" w:colLast="0"/>
      <w:bookmarkEnd w:id="16"/>
      <w:r>
        <w:t>Demand forecasts</w:t>
      </w:r>
    </w:p>
    <w:p w:rsidR="009F06CA" w:rsidRDefault="00D0425F">
      <w:r>
        <w:t>Once baskets have been created in the system, the next stage is for Risk to add demand forecasts to them. This allows Trading to see what the purchase requirements are for each basket and monitor the progress of their hedging.</w:t>
      </w:r>
    </w:p>
    <w:p w:rsidR="009F06CA" w:rsidRDefault="00D0425F">
      <w:r>
        <w:t>Demand forecasts are always p</w:t>
      </w:r>
      <w:r>
        <w:t>rovided by the suppliers. Each supplier uses their own internal format for demand forecasts. These are supplied in Excel format. For both gas and power, the suppliers provide the anticipated demand for each basket. For power, this is also supplemented with</w:t>
      </w:r>
      <w:r>
        <w:t xml:space="preserve"> a ‘shopping list’ which blocks the demand shape into residual, baseload and peakload. Currently, CCS do not load the residual shape or the overall half hourly demand, but may do so in the future. CCS load the baseload and peak requirements.</w:t>
      </w:r>
    </w:p>
    <w:p w:rsidR="009F06CA" w:rsidRDefault="00D0425F">
      <w:r>
        <w:t>The first dema</w:t>
      </w:r>
      <w:r>
        <w:t>nd forecast will be provided by the suppliers in advance of each basket opening for trading. Over time, this will be updated to reflect changes such as site additions and removals, and to reflect the latest view of each customer’s consumption.</w:t>
      </w:r>
    </w:p>
    <w:p w:rsidR="009F06CA" w:rsidRDefault="00D0425F">
      <w:r>
        <w:t>Updated dema</w:t>
      </w:r>
      <w:r>
        <w:t xml:space="preserve">nd shapes are provided infrequently; generally about 3 or 4 shapes will be provided during the lifetime of a basket. </w:t>
      </w:r>
    </w:p>
    <w:p w:rsidR="009F06CA" w:rsidRDefault="00D0425F">
      <w:r>
        <w:t>Once a demand forecast has been received, CCS check it to ensure it matches expectations. If CCS are satisfied with the demand forecast, t</w:t>
      </w:r>
      <w:r>
        <w:t>he Excel file provided by the supplier is converted into the position upload template format expected by the ETS, ready for processing.</w:t>
      </w:r>
    </w:p>
    <w:p w:rsidR="009F06CA" w:rsidRDefault="00D0425F">
      <w:r>
        <w:t>Although the conversion of supplier provided demand forecasts into formats usable by the ETS is a manual process, CCS do</w:t>
      </w:r>
      <w:r>
        <w:t xml:space="preserve"> not anticipate the loading of normal demand forecasts in future (weather corrected gas demands are already loaded automatically.)</w:t>
      </w:r>
    </w:p>
    <w:p w:rsidR="009F06CA" w:rsidRDefault="00D0425F">
      <w:r>
        <w:t>The reason for this is that manual checking of the forecasts is a key step in our management of volume risk, and due to the i</w:t>
      </w:r>
      <w:r>
        <w:t>nfrequent provision of updated demand shapes the resource overhead for carrying out this work is low.</w:t>
      </w:r>
    </w:p>
    <w:p w:rsidR="009F06CA" w:rsidRDefault="00D0425F">
      <w:r>
        <w:t xml:space="preserve">CCS are in the process of implementing a separate Energy Data System (EDS), which will record customers’ meter and billing data. In the future, CCS would </w:t>
      </w:r>
      <w:r>
        <w:t>be interested in exploring options for sharing data between the Energy Data System and the Energy Trading System, particularly with a view to using customers’ meter data for demand forecasting.</w:t>
      </w:r>
    </w:p>
    <w:p w:rsidR="009F06CA" w:rsidRDefault="00D0425F">
      <w:pPr>
        <w:pStyle w:val="Heading1"/>
      </w:pPr>
      <w:bookmarkStart w:id="17" w:name="_2s8eyo1" w:colFirst="0" w:colLast="0"/>
      <w:bookmarkEnd w:id="17"/>
      <w:r>
        <w:t>Loading demand forecasts into the ETS</w:t>
      </w:r>
    </w:p>
    <w:p w:rsidR="009F06CA" w:rsidRDefault="00D0425F">
      <w:r>
        <w:t>Demands are always store</w:t>
      </w:r>
      <w:r>
        <w:t>d in the system at maximum granularity:</w:t>
      </w:r>
    </w:p>
    <w:p w:rsidR="009F06CA" w:rsidRDefault="00D0425F">
      <w:pPr>
        <w:numPr>
          <w:ilvl w:val="0"/>
          <w:numId w:val="1"/>
        </w:numPr>
        <w:pBdr>
          <w:top w:val="nil"/>
          <w:left w:val="nil"/>
          <w:bottom w:val="nil"/>
          <w:right w:val="nil"/>
          <w:between w:val="nil"/>
        </w:pBdr>
        <w:spacing w:after="0"/>
      </w:pPr>
      <w:r>
        <w:rPr>
          <w:color w:val="000000"/>
        </w:rPr>
        <w:t>Daily for gas</w:t>
      </w:r>
    </w:p>
    <w:p w:rsidR="009F06CA" w:rsidRDefault="00D0425F">
      <w:pPr>
        <w:numPr>
          <w:ilvl w:val="0"/>
          <w:numId w:val="1"/>
        </w:numPr>
        <w:pBdr>
          <w:top w:val="nil"/>
          <w:left w:val="nil"/>
          <w:bottom w:val="nil"/>
          <w:right w:val="nil"/>
          <w:between w:val="nil"/>
        </w:pBdr>
      </w:pPr>
      <w:r>
        <w:rPr>
          <w:color w:val="000000"/>
        </w:rPr>
        <w:t>Half-hourly for power</w:t>
      </w:r>
    </w:p>
    <w:p w:rsidR="009F06CA" w:rsidRDefault="00D0425F">
      <w:r>
        <w:lastRenderedPageBreak/>
        <w:t>Generally, CCS does not upload demand forecasts at maximum granularity. Typically, forecasts are uploaded at monthly granularity. The system converts this to a daily/half-hourly de</w:t>
      </w:r>
      <w:r>
        <w:t>mand shape with the monthly total divided evenly between each period.</w:t>
      </w:r>
    </w:p>
    <w:p w:rsidR="009F06CA" w:rsidRDefault="00D0425F">
      <w:r>
        <w:t>Calculations for positions, trades, valuations, etc. are always carried out at the base granularity, i.e. daily for gas and half-hourly for power.</w:t>
      </w:r>
    </w:p>
    <w:p w:rsidR="009F06CA" w:rsidRDefault="00D0425F">
      <w:r>
        <w:t>Outputs (reports, queries, position vie</w:t>
      </w:r>
      <w:r>
        <w:t>ws etc.) will sometimes be aggregated at a less granular level (e.g. daily, monthly or annually) as requested by the user. However, this has no bearing on the inner workings of the system. Calculations are always carried out at the most granular level.</w:t>
      </w:r>
    </w:p>
    <w:p w:rsidR="009F06CA" w:rsidRDefault="00D0425F">
      <w:r>
        <w:t>The</w:t>
      </w:r>
      <w:r>
        <w:t>re are three demand curves for power:</w:t>
      </w:r>
    </w:p>
    <w:p w:rsidR="009F06CA" w:rsidRDefault="00D0425F">
      <w:pPr>
        <w:numPr>
          <w:ilvl w:val="0"/>
          <w:numId w:val="3"/>
        </w:numPr>
        <w:pBdr>
          <w:top w:val="nil"/>
          <w:left w:val="nil"/>
          <w:bottom w:val="nil"/>
          <w:right w:val="nil"/>
          <w:between w:val="nil"/>
        </w:pBdr>
        <w:spacing w:after="0"/>
      </w:pPr>
      <w:r>
        <w:rPr>
          <w:color w:val="000000"/>
        </w:rPr>
        <w:t>Baseload</w:t>
      </w:r>
    </w:p>
    <w:p w:rsidR="009F06CA" w:rsidRDefault="00D0425F">
      <w:pPr>
        <w:numPr>
          <w:ilvl w:val="0"/>
          <w:numId w:val="3"/>
        </w:numPr>
        <w:pBdr>
          <w:top w:val="nil"/>
          <w:left w:val="nil"/>
          <w:bottom w:val="nil"/>
          <w:right w:val="nil"/>
          <w:between w:val="nil"/>
        </w:pBdr>
        <w:spacing w:after="0"/>
      </w:pPr>
      <w:r>
        <w:rPr>
          <w:color w:val="000000"/>
        </w:rPr>
        <w:t>Peakload</w:t>
      </w:r>
    </w:p>
    <w:p w:rsidR="009F06CA" w:rsidRDefault="00D0425F">
      <w:pPr>
        <w:numPr>
          <w:ilvl w:val="0"/>
          <w:numId w:val="3"/>
        </w:numPr>
        <w:pBdr>
          <w:top w:val="nil"/>
          <w:left w:val="nil"/>
          <w:bottom w:val="nil"/>
          <w:right w:val="nil"/>
          <w:between w:val="nil"/>
        </w:pBdr>
      </w:pPr>
      <w:r>
        <w:rPr>
          <w:color w:val="000000"/>
        </w:rPr>
        <w:t>Residual</w:t>
      </w:r>
    </w:p>
    <w:p w:rsidR="009F06CA" w:rsidRDefault="00D0425F">
      <w:r>
        <w:t>These curves are provided by the supplier before trading commences, and periodic updates (reshapes) are provided up until shortly before delivery begins.</w:t>
      </w:r>
    </w:p>
    <w:p w:rsidR="009F06CA" w:rsidRDefault="00D0425F">
      <w:r>
        <w:t>These curves are stored separately. The baseload curve has values in every period, while the peakload curve has values in peak periods only, and zeroes in off-peak periods. Total traded demand can be found by adding the two together. Total delivered demand</w:t>
      </w:r>
      <w:r>
        <w:t xml:space="preserve"> can be found by adding the residual as well.</w:t>
      </w:r>
    </w:p>
    <w:p w:rsidR="009F06CA" w:rsidRDefault="00D0425F">
      <w:r>
        <w:t>There are two demand curves for gas:</w:t>
      </w:r>
    </w:p>
    <w:p w:rsidR="009F06CA" w:rsidRDefault="00D0425F">
      <w:pPr>
        <w:numPr>
          <w:ilvl w:val="0"/>
          <w:numId w:val="4"/>
        </w:numPr>
        <w:pBdr>
          <w:top w:val="nil"/>
          <w:left w:val="nil"/>
          <w:bottom w:val="nil"/>
          <w:right w:val="nil"/>
          <w:between w:val="nil"/>
        </w:pBdr>
        <w:spacing w:after="0"/>
      </w:pPr>
      <w:r>
        <w:rPr>
          <w:color w:val="000000"/>
        </w:rPr>
        <w:t>Normal</w:t>
      </w:r>
    </w:p>
    <w:p w:rsidR="009F06CA" w:rsidRDefault="00D0425F">
      <w:pPr>
        <w:numPr>
          <w:ilvl w:val="0"/>
          <w:numId w:val="4"/>
        </w:numPr>
        <w:pBdr>
          <w:top w:val="nil"/>
          <w:left w:val="nil"/>
          <w:bottom w:val="nil"/>
          <w:right w:val="nil"/>
          <w:between w:val="nil"/>
        </w:pBdr>
      </w:pPr>
      <w:r>
        <w:rPr>
          <w:color w:val="000000"/>
        </w:rPr>
        <w:t>Weather corrected</w:t>
      </w:r>
    </w:p>
    <w:p w:rsidR="009F06CA" w:rsidRDefault="00D0425F">
      <w:r>
        <w:t>The normal gas demand curve covers the entire delivery period of the basket. Like the power curves, this is provided by the supplier before trading commences, with periodic updates (reshapes) provided up until shortly before delivery begins.</w:t>
      </w:r>
    </w:p>
    <w:p w:rsidR="009F06CA" w:rsidRDefault="00D0425F">
      <w:r>
        <w:t>The weather co</w:t>
      </w:r>
      <w:r>
        <w:t xml:space="preserve">rrected demand curve is the supplier's assessment of demand based on the latest weather forecast. Due to the limitations of weather forecasting, this generally only extends about ten days ahead of the current day. The supplier uploads their latest weather </w:t>
      </w:r>
      <w:r>
        <w:t>corrected demand each weekday.</w:t>
      </w:r>
    </w:p>
    <w:p w:rsidR="009F06CA" w:rsidRDefault="00D0425F">
      <w:r>
        <w:t>The supplier provides weather corrected demands by uploading them onto an FTP server. The ETS is configured to check this server on a regular basis, and when a file is detected it uploads it and attempts to import the data.</w:t>
      </w:r>
    </w:p>
    <w:p w:rsidR="009F06CA" w:rsidRDefault="00D0425F">
      <w:r>
        <w:t>W</w:t>
      </w:r>
      <w:r>
        <w:t>here no weather corrected demand is present, the system will use the normal demand instead. This is in contrast to the power curves, which are not adjusted to reflect weather forecasts independent of each other.</w:t>
      </w:r>
    </w:p>
    <w:p w:rsidR="009F06CA" w:rsidRDefault="00D0425F">
      <w:r>
        <w:t>The weather corrected demands are not used f</w:t>
      </w:r>
      <w:r>
        <w:t>or standard position reports, analysis, or risk reporting - these all use the normal gas demand. The traders use a separate position report to view weather corrected demands and manage the resultant position where required (e.g., for entering near-dated tr</w:t>
      </w:r>
      <w:r>
        <w:t>ades.)</w:t>
      </w:r>
    </w:p>
    <w:p w:rsidR="009F06CA" w:rsidRDefault="00D0425F">
      <w:r>
        <w:t>When loading any demand forecast, whether manually via a user upload or automatically for the FTP loading of weather corrected demands, the ETS carries out comprehensive data validation checks. If the import template is not in the expected format, i</w:t>
      </w:r>
      <w:r>
        <w:t xml:space="preserve">t is rejected. If any of the data is not as expected </w:t>
      </w:r>
      <w:r>
        <w:lastRenderedPageBreak/>
        <w:t>(for example: text in a field where numbers are expected, book ID does not match an active basket) then the import will be cancelled.</w:t>
      </w:r>
    </w:p>
    <w:p w:rsidR="009F06CA" w:rsidRDefault="00D0425F">
      <w:r>
        <w:t>During the validation of power purchasing requirements, the ETS check</w:t>
      </w:r>
      <w:r>
        <w:t>s that the long and short days required for the transitions between GMT and BST have the correct number of periods. If they do not, the purchasing requirement file is rejected.</w:t>
      </w:r>
    </w:p>
    <w:p w:rsidR="009F06CA" w:rsidRDefault="00D0425F">
      <w:r>
        <w:t xml:space="preserve">Loading of demand forecasts is logged in the ETS task list. Users can view the </w:t>
      </w:r>
      <w:r>
        <w:t>progress or completion of the task, and its success or failure is recorded in the audit log. If the upload fails, this is logged and detailed feedback is provided stating where in the upload file the issue was found.</w:t>
      </w:r>
    </w:p>
    <w:p w:rsidR="009F06CA" w:rsidRDefault="00D0425F">
      <w:pPr>
        <w:pStyle w:val="Heading1"/>
      </w:pPr>
      <w:bookmarkStart w:id="18" w:name="_17dp8vu" w:colFirst="0" w:colLast="0"/>
      <w:bookmarkEnd w:id="18"/>
      <w:r>
        <w:t>Price data upload</w:t>
      </w:r>
    </w:p>
    <w:p w:rsidR="009F06CA" w:rsidRDefault="00D0425F">
      <w:r>
        <w:t>The first task of the</w:t>
      </w:r>
      <w:r>
        <w:t xml:space="preserve"> day is loading the ETS with the day’s pricing data. This is carried out by the risk analyst. Currently this is a semi-automated process using both the ETS and a number of Excel worksheets.</w:t>
      </w:r>
    </w:p>
    <w:p w:rsidR="009F06CA" w:rsidRDefault="00D0425F">
      <w:r>
        <w:t>First of all, pricing data is downloaded from a number of data pro</w:t>
      </w:r>
      <w:r>
        <w:t>viders. This is loaded into the Excel model for conversion into the upload format expected by the ETS.</w:t>
      </w:r>
    </w:p>
    <w:p w:rsidR="009F06CA" w:rsidRDefault="00D0425F">
      <w:r>
        <w:t>Next, the month / quarter / season contract prices are converted into more granular curves: half-hourly for power, and daily for gas. CCS has a proprieta</w:t>
      </w:r>
      <w:r>
        <w:t>ry process for doing this, which essentially involves the use of scaling ratios to adjust the less granular price up or down for each period.</w:t>
      </w:r>
    </w:p>
    <w:p w:rsidR="009F06CA" w:rsidRDefault="00D0425F">
      <w:r>
        <w:t>Once the half hourly / daily curves have been created, the Excel model then outputs them in the upload template fo</w:t>
      </w:r>
      <w:r>
        <w:t xml:space="preserve">rmat expected by the ETS. The curves are saved in a designated network directory, visible to the ETS. The ETS is configured with a scheduled task to check this directory for files on a regular basis. When the system detects a file is available, it uploads </w:t>
      </w:r>
      <w:r>
        <w:t>it, uses the contents to overwrite its stored pricing data, and refreshes its positions based on the new prices.</w:t>
      </w:r>
    </w:p>
    <w:p w:rsidR="009F06CA" w:rsidRDefault="00D0425F">
      <w:r>
        <w:t xml:space="preserve">When uploading price curves, the ETS performs a comprehensive data validation. If the upload template does not conform to the expected format, </w:t>
      </w:r>
      <w:r>
        <w:t>or includes data that cannot be processed (for example, text in number fields), the data loading fails and an error is recorded in the system’s audit log.</w:t>
      </w:r>
    </w:p>
    <w:p w:rsidR="009F06CA" w:rsidRDefault="00D0425F">
      <w:r>
        <w:t>During the validation of power price curves, the ETS checks that the long and short days required for</w:t>
      </w:r>
      <w:r>
        <w:t xml:space="preserve"> the transitions between GMT and BST have the correct number of periods. If they do not, the price file is rejected.</w:t>
      </w:r>
    </w:p>
    <w:p w:rsidR="009F06CA" w:rsidRDefault="00D0425F">
      <w:r>
        <w:t>Price curves are stored in the ETS to 5 decimal places, for both gas and power.</w:t>
      </w:r>
    </w:p>
    <w:p w:rsidR="009F06CA" w:rsidRDefault="00D0425F">
      <w:r>
        <w:t>For daily price curve updates, CCS use partial price curves</w:t>
      </w:r>
      <w:r>
        <w:t>. To reduce storage space and processing time, the price curve updates only include days for which the price curve needs updating - typically  from the present onwards; historic prices for days prior to the present are assumed to remain unchanged, although</w:t>
      </w:r>
      <w:r>
        <w:t xml:space="preserve"> on occasion errors may mean they need updating. When the ETS loads price curve files, it overwrites the existing data for any periods that are present in the upload, but leaves data already present in the system (e.g. for historic periods) intact rather t</w:t>
      </w:r>
      <w:r>
        <w:t>han deleting it or setting it to zero. An example of how this works in practice can be seen in Appendix 1.</w:t>
      </w:r>
    </w:p>
    <w:p w:rsidR="009F06CA" w:rsidRDefault="00D0425F">
      <w:r>
        <w:t xml:space="preserve">Finally, the Excel model saves the prices in an archive file, and generates a table showing the movement of contract prices compared to the previous </w:t>
      </w:r>
      <w:r>
        <w:t>day of trading. The risk analyst copies this into an e-mail and distributes it to the entire team prior to generating the full reports. The output table looks like this:</w:t>
      </w:r>
    </w:p>
    <w:tbl>
      <w:tblPr>
        <w:tblStyle w:val="a1"/>
        <w:tblW w:w="9350" w:type="dxa"/>
        <w:tblLayout w:type="fixed"/>
        <w:tblLook w:val="0400" w:firstRow="0" w:lastRow="0" w:firstColumn="0" w:lastColumn="0" w:noHBand="0" w:noVBand="1"/>
      </w:tblPr>
      <w:tblGrid>
        <w:gridCol w:w="850"/>
        <w:gridCol w:w="850"/>
        <w:gridCol w:w="850"/>
        <w:gridCol w:w="850"/>
        <w:gridCol w:w="850"/>
        <w:gridCol w:w="850"/>
        <w:gridCol w:w="850"/>
        <w:gridCol w:w="850"/>
        <w:gridCol w:w="850"/>
        <w:gridCol w:w="850"/>
        <w:gridCol w:w="850"/>
      </w:tblGrid>
      <w:tr w:rsidR="009F06CA">
        <w:trPr>
          <w:trHeight w:val="255"/>
        </w:trPr>
        <w:tc>
          <w:tcPr>
            <w:tcW w:w="850" w:type="dxa"/>
            <w:tcBorders>
              <w:top w:val="single" w:sz="4" w:space="0" w:color="000000"/>
              <w:left w:val="single" w:sz="4" w:space="0" w:color="000000"/>
              <w:bottom w:val="single" w:sz="4" w:space="0" w:color="000000"/>
              <w:right w:val="nil"/>
            </w:tcBorders>
            <w:shd w:val="clear" w:color="auto" w:fill="0070C0"/>
            <w:vAlign w:val="center"/>
          </w:tcPr>
          <w:p w:rsidR="009F06CA" w:rsidRDefault="009F06CA">
            <w:pPr>
              <w:spacing w:after="0" w:line="240" w:lineRule="auto"/>
              <w:jc w:val="center"/>
              <w:rPr>
                <w:b/>
                <w:color w:val="FFFFFF"/>
                <w:sz w:val="16"/>
                <w:szCs w:val="16"/>
              </w:rPr>
            </w:pPr>
          </w:p>
        </w:tc>
        <w:tc>
          <w:tcPr>
            <w:tcW w:w="850" w:type="dxa"/>
            <w:tcBorders>
              <w:top w:val="single" w:sz="4" w:space="0" w:color="000000"/>
              <w:left w:val="nil"/>
              <w:bottom w:val="single" w:sz="4" w:space="0" w:color="000000"/>
              <w:right w:val="nil"/>
            </w:tcBorders>
            <w:shd w:val="clear" w:color="auto" w:fill="0070C0"/>
            <w:vAlign w:val="center"/>
          </w:tcPr>
          <w:p w:rsidR="009F06CA" w:rsidRDefault="00D0425F">
            <w:pPr>
              <w:spacing w:after="0" w:line="240" w:lineRule="auto"/>
              <w:jc w:val="center"/>
              <w:rPr>
                <w:b/>
                <w:color w:val="FFFFFF"/>
                <w:sz w:val="16"/>
                <w:szCs w:val="16"/>
              </w:rPr>
            </w:pPr>
            <w:r>
              <w:rPr>
                <w:b/>
                <w:color w:val="FFFFFF"/>
                <w:sz w:val="16"/>
                <w:szCs w:val="16"/>
              </w:rPr>
              <w:t>Feb-20</w:t>
            </w:r>
          </w:p>
        </w:tc>
        <w:tc>
          <w:tcPr>
            <w:tcW w:w="850" w:type="dxa"/>
            <w:tcBorders>
              <w:top w:val="single" w:sz="4" w:space="0" w:color="000000"/>
              <w:left w:val="nil"/>
              <w:bottom w:val="single" w:sz="4" w:space="0" w:color="000000"/>
              <w:right w:val="nil"/>
            </w:tcBorders>
            <w:shd w:val="clear" w:color="auto" w:fill="0070C0"/>
            <w:vAlign w:val="center"/>
          </w:tcPr>
          <w:p w:rsidR="009F06CA" w:rsidRDefault="00D0425F">
            <w:pPr>
              <w:spacing w:after="0" w:line="240" w:lineRule="auto"/>
              <w:jc w:val="center"/>
              <w:rPr>
                <w:b/>
                <w:color w:val="FFFFFF"/>
                <w:sz w:val="16"/>
                <w:szCs w:val="16"/>
              </w:rPr>
            </w:pPr>
            <w:r>
              <w:rPr>
                <w:b/>
                <w:color w:val="FFFFFF"/>
                <w:sz w:val="16"/>
                <w:szCs w:val="16"/>
              </w:rPr>
              <w:t>Mar-20</w:t>
            </w:r>
          </w:p>
        </w:tc>
        <w:tc>
          <w:tcPr>
            <w:tcW w:w="850" w:type="dxa"/>
            <w:tcBorders>
              <w:top w:val="single" w:sz="4" w:space="0" w:color="000000"/>
              <w:left w:val="nil"/>
              <w:bottom w:val="single" w:sz="4" w:space="0" w:color="000000"/>
              <w:right w:val="nil"/>
            </w:tcBorders>
            <w:shd w:val="clear" w:color="auto" w:fill="0070C0"/>
            <w:vAlign w:val="center"/>
          </w:tcPr>
          <w:p w:rsidR="009F06CA" w:rsidRDefault="00D0425F">
            <w:pPr>
              <w:spacing w:after="0" w:line="240" w:lineRule="auto"/>
              <w:jc w:val="center"/>
              <w:rPr>
                <w:b/>
                <w:color w:val="FFFFFF"/>
                <w:sz w:val="16"/>
                <w:szCs w:val="16"/>
              </w:rPr>
            </w:pPr>
            <w:r>
              <w:rPr>
                <w:b/>
                <w:color w:val="FFFFFF"/>
                <w:sz w:val="16"/>
                <w:szCs w:val="16"/>
              </w:rPr>
              <w:t>Q2 2020</w:t>
            </w:r>
          </w:p>
        </w:tc>
        <w:tc>
          <w:tcPr>
            <w:tcW w:w="850" w:type="dxa"/>
            <w:tcBorders>
              <w:top w:val="single" w:sz="4" w:space="0" w:color="000000"/>
              <w:left w:val="nil"/>
              <w:bottom w:val="single" w:sz="4" w:space="0" w:color="000000"/>
              <w:right w:val="nil"/>
            </w:tcBorders>
            <w:shd w:val="clear" w:color="auto" w:fill="0070C0"/>
            <w:vAlign w:val="center"/>
          </w:tcPr>
          <w:p w:rsidR="009F06CA" w:rsidRDefault="00D0425F">
            <w:pPr>
              <w:spacing w:after="0" w:line="240" w:lineRule="auto"/>
              <w:jc w:val="center"/>
              <w:rPr>
                <w:b/>
                <w:color w:val="FFFFFF"/>
                <w:sz w:val="16"/>
                <w:szCs w:val="16"/>
              </w:rPr>
            </w:pPr>
            <w:r>
              <w:rPr>
                <w:b/>
                <w:color w:val="FFFFFF"/>
                <w:sz w:val="16"/>
                <w:szCs w:val="16"/>
              </w:rPr>
              <w:t>Summer 20</w:t>
            </w:r>
          </w:p>
        </w:tc>
        <w:tc>
          <w:tcPr>
            <w:tcW w:w="850" w:type="dxa"/>
            <w:tcBorders>
              <w:top w:val="single" w:sz="4" w:space="0" w:color="000000"/>
              <w:left w:val="nil"/>
              <w:bottom w:val="single" w:sz="4" w:space="0" w:color="000000"/>
              <w:right w:val="nil"/>
            </w:tcBorders>
            <w:shd w:val="clear" w:color="auto" w:fill="0070C0"/>
            <w:vAlign w:val="center"/>
          </w:tcPr>
          <w:p w:rsidR="009F06CA" w:rsidRDefault="00D0425F">
            <w:pPr>
              <w:spacing w:after="0" w:line="240" w:lineRule="auto"/>
              <w:jc w:val="center"/>
              <w:rPr>
                <w:b/>
                <w:color w:val="FFFFFF"/>
                <w:sz w:val="16"/>
                <w:szCs w:val="16"/>
              </w:rPr>
            </w:pPr>
            <w:r>
              <w:rPr>
                <w:b/>
                <w:color w:val="FFFFFF"/>
                <w:sz w:val="16"/>
                <w:szCs w:val="16"/>
              </w:rPr>
              <w:t>Winter 21</w:t>
            </w:r>
          </w:p>
        </w:tc>
        <w:tc>
          <w:tcPr>
            <w:tcW w:w="850" w:type="dxa"/>
            <w:tcBorders>
              <w:top w:val="single" w:sz="4" w:space="0" w:color="000000"/>
              <w:left w:val="nil"/>
              <w:bottom w:val="single" w:sz="4" w:space="0" w:color="000000"/>
              <w:right w:val="nil"/>
            </w:tcBorders>
            <w:shd w:val="clear" w:color="auto" w:fill="0070C0"/>
            <w:vAlign w:val="center"/>
          </w:tcPr>
          <w:p w:rsidR="009F06CA" w:rsidRDefault="00D0425F">
            <w:pPr>
              <w:spacing w:after="0" w:line="240" w:lineRule="auto"/>
              <w:jc w:val="center"/>
              <w:rPr>
                <w:b/>
                <w:color w:val="FFFFFF"/>
                <w:sz w:val="16"/>
                <w:szCs w:val="16"/>
              </w:rPr>
            </w:pPr>
            <w:r>
              <w:rPr>
                <w:b/>
                <w:color w:val="FFFFFF"/>
                <w:sz w:val="16"/>
                <w:szCs w:val="16"/>
              </w:rPr>
              <w:t>Summer 21</w:t>
            </w:r>
          </w:p>
        </w:tc>
        <w:tc>
          <w:tcPr>
            <w:tcW w:w="850" w:type="dxa"/>
            <w:tcBorders>
              <w:top w:val="single" w:sz="4" w:space="0" w:color="000000"/>
              <w:left w:val="nil"/>
              <w:bottom w:val="single" w:sz="4" w:space="0" w:color="000000"/>
              <w:right w:val="nil"/>
            </w:tcBorders>
            <w:shd w:val="clear" w:color="auto" w:fill="0070C0"/>
            <w:vAlign w:val="center"/>
          </w:tcPr>
          <w:p w:rsidR="009F06CA" w:rsidRDefault="00D0425F">
            <w:pPr>
              <w:spacing w:after="0" w:line="240" w:lineRule="auto"/>
              <w:jc w:val="center"/>
              <w:rPr>
                <w:b/>
                <w:color w:val="FFFFFF"/>
                <w:sz w:val="16"/>
                <w:szCs w:val="16"/>
              </w:rPr>
            </w:pPr>
            <w:r>
              <w:rPr>
                <w:b/>
                <w:color w:val="FFFFFF"/>
                <w:sz w:val="16"/>
                <w:szCs w:val="16"/>
              </w:rPr>
              <w:t>Winter 22</w:t>
            </w:r>
          </w:p>
        </w:tc>
        <w:tc>
          <w:tcPr>
            <w:tcW w:w="850" w:type="dxa"/>
            <w:tcBorders>
              <w:top w:val="single" w:sz="4" w:space="0" w:color="000000"/>
              <w:left w:val="nil"/>
              <w:bottom w:val="single" w:sz="4" w:space="0" w:color="000000"/>
              <w:right w:val="nil"/>
            </w:tcBorders>
            <w:shd w:val="clear" w:color="auto" w:fill="0070C0"/>
            <w:vAlign w:val="center"/>
          </w:tcPr>
          <w:p w:rsidR="009F06CA" w:rsidRDefault="00D0425F">
            <w:pPr>
              <w:spacing w:after="0" w:line="240" w:lineRule="auto"/>
              <w:jc w:val="center"/>
              <w:rPr>
                <w:b/>
                <w:color w:val="FFFFFF"/>
                <w:sz w:val="16"/>
                <w:szCs w:val="16"/>
              </w:rPr>
            </w:pPr>
            <w:r>
              <w:rPr>
                <w:b/>
                <w:color w:val="FFFFFF"/>
                <w:sz w:val="16"/>
                <w:szCs w:val="16"/>
              </w:rPr>
              <w:t>Summer 22</w:t>
            </w:r>
          </w:p>
        </w:tc>
        <w:tc>
          <w:tcPr>
            <w:tcW w:w="850" w:type="dxa"/>
            <w:tcBorders>
              <w:top w:val="single" w:sz="4" w:space="0" w:color="000000"/>
              <w:left w:val="nil"/>
              <w:bottom w:val="single" w:sz="4" w:space="0" w:color="000000"/>
              <w:right w:val="nil"/>
            </w:tcBorders>
            <w:shd w:val="clear" w:color="auto" w:fill="0070C0"/>
            <w:vAlign w:val="center"/>
          </w:tcPr>
          <w:p w:rsidR="009F06CA" w:rsidRDefault="00D0425F">
            <w:pPr>
              <w:spacing w:after="0" w:line="240" w:lineRule="auto"/>
              <w:jc w:val="center"/>
              <w:rPr>
                <w:b/>
                <w:color w:val="FFFFFF"/>
                <w:sz w:val="16"/>
                <w:szCs w:val="16"/>
              </w:rPr>
            </w:pPr>
            <w:r>
              <w:rPr>
                <w:b/>
                <w:color w:val="FFFFFF"/>
                <w:sz w:val="16"/>
                <w:szCs w:val="16"/>
              </w:rPr>
              <w:t>Winter 23</w:t>
            </w:r>
          </w:p>
        </w:tc>
        <w:tc>
          <w:tcPr>
            <w:tcW w:w="850" w:type="dxa"/>
            <w:tcBorders>
              <w:top w:val="single" w:sz="4" w:space="0" w:color="000000"/>
              <w:left w:val="nil"/>
              <w:bottom w:val="single" w:sz="4" w:space="0" w:color="000000"/>
              <w:right w:val="single" w:sz="4" w:space="0" w:color="000000"/>
            </w:tcBorders>
            <w:shd w:val="clear" w:color="auto" w:fill="0070C0"/>
            <w:vAlign w:val="center"/>
          </w:tcPr>
          <w:p w:rsidR="009F06CA" w:rsidRDefault="00D0425F">
            <w:pPr>
              <w:spacing w:after="0" w:line="240" w:lineRule="auto"/>
              <w:jc w:val="center"/>
              <w:rPr>
                <w:b/>
                <w:color w:val="FFFFFF"/>
                <w:sz w:val="16"/>
                <w:szCs w:val="16"/>
              </w:rPr>
            </w:pPr>
            <w:r>
              <w:rPr>
                <w:b/>
                <w:color w:val="FFFFFF"/>
                <w:sz w:val="16"/>
                <w:szCs w:val="16"/>
              </w:rPr>
              <w:t>Summer 23</w:t>
            </w:r>
          </w:p>
        </w:tc>
      </w:tr>
      <w:tr w:rsidR="009F06CA">
        <w:trPr>
          <w:trHeight w:val="255"/>
        </w:trPr>
        <w:tc>
          <w:tcPr>
            <w:tcW w:w="850" w:type="dxa"/>
            <w:tcBorders>
              <w:top w:val="nil"/>
              <w:left w:val="single" w:sz="4" w:space="0" w:color="000000"/>
              <w:bottom w:val="nil"/>
              <w:right w:val="nil"/>
            </w:tcBorders>
            <w:shd w:val="clear" w:color="auto" w:fill="auto"/>
            <w:vAlign w:val="center"/>
          </w:tcPr>
          <w:p w:rsidR="009F06CA" w:rsidRDefault="00D0425F">
            <w:pPr>
              <w:spacing w:after="0" w:line="240" w:lineRule="auto"/>
              <w:jc w:val="center"/>
              <w:rPr>
                <w:color w:val="000000"/>
                <w:sz w:val="16"/>
                <w:szCs w:val="16"/>
              </w:rPr>
            </w:pPr>
            <w:r>
              <w:rPr>
                <w:color w:val="000000"/>
                <w:sz w:val="16"/>
                <w:szCs w:val="16"/>
              </w:rPr>
              <w:t>Gas</w:t>
            </w:r>
          </w:p>
        </w:tc>
        <w:tc>
          <w:tcPr>
            <w:tcW w:w="850" w:type="dxa"/>
            <w:tcBorders>
              <w:top w:val="nil"/>
              <w:left w:val="nil"/>
              <w:bottom w:val="nil"/>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-0.4%</w:t>
            </w:r>
          </w:p>
        </w:tc>
        <w:tc>
          <w:tcPr>
            <w:tcW w:w="850" w:type="dxa"/>
            <w:tcBorders>
              <w:top w:val="nil"/>
              <w:left w:val="nil"/>
              <w:bottom w:val="nil"/>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0.0%</w:t>
            </w:r>
          </w:p>
        </w:tc>
        <w:tc>
          <w:tcPr>
            <w:tcW w:w="850" w:type="dxa"/>
            <w:tcBorders>
              <w:top w:val="nil"/>
              <w:left w:val="nil"/>
              <w:bottom w:val="nil"/>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-0.3%</w:t>
            </w:r>
          </w:p>
        </w:tc>
        <w:tc>
          <w:tcPr>
            <w:tcW w:w="850" w:type="dxa"/>
            <w:tcBorders>
              <w:top w:val="nil"/>
              <w:left w:val="nil"/>
              <w:bottom w:val="nil"/>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-0.1%</w:t>
            </w:r>
          </w:p>
        </w:tc>
        <w:tc>
          <w:tcPr>
            <w:tcW w:w="850" w:type="dxa"/>
            <w:tcBorders>
              <w:top w:val="nil"/>
              <w:left w:val="nil"/>
              <w:bottom w:val="nil"/>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0.0%</w:t>
            </w:r>
          </w:p>
        </w:tc>
        <w:tc>
          <w:tcPr>
            <w:tcW w:w="850" w:type="dxa"/>
            <w:tcBorders>
              <w:top w:val="nil"/>
              <w:left w:val="nil"/>
              <w:bottom w:val="nil"/>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-0.2%</w:t>
            </w:r>
          </w:p>
        </w:tc>
        <w:tc>
          <w:tcPr>
            <w:tcW w:w="850" w:type="dxa"/>
            <w:tcBorders>
              <w:top w:val="nil"/>
              <w:left w:val="nil"/>
              <w:bottom w:val="nil"/>
              <w:right w:val="nil"/>
            </w:tcBorders>
            <w:shd w:val="clear" w:color="auto" w:fill="FFC7CE"/>
            <w:vAlign w:val="center"/>
          </w:tcPr>
          <w:p w:rsidR="009F06CA" w:rsidRDefault="00D0425F">
            <w:pPr>
              <w:spacing w:after="0" w:line="240" w:lineRule="auto"/>
              <w:jc w:val="center"/>
              <w:rPr>
                <w:color w:val="9C0006"/>
                <w:sz w:val="16"/>
                <w:szCs w:val="16"/>
              </w:rPr>
            </w:pPr>
            <w:r>
              <w:rPr>
                <w:color w:val="9C0006"/>
                <w:sz w:val="16"/>
                <w:szCs w:val="16"/>
              </w:rPr>
              <w:t>0.5%</w:t>
            </w:r>
          </w:p>
        </w:tc>
        <w:tc>
          <w:tcPr>
            <w:tcW w:w="850" w:type="dxa"/>
            <w:tcBorders>
              <w:top w:val="nil"/>
              <w:left w:val="nil"/>
              <w:bottom w:val="nil"/>
              <w:right w:val="nil"/>
            </w:tcBorders>
            <w:shd w:val="clear" w:color="auto" w:fill="FFC7CE"/>
            <w:vAlign w:val="center"/>
          </w:tcPr>
          <w:p w:rsidR="009F06CA" w:rsidRDefault="00D0425F">
            <w:pPr>
              <w:spacing w:after="0" w:line="240" w:lineRule="auto"/>
              <w:jc w:val="center"/>
              <w:rPr>
                <w:color w:val="9C0006"/>
                <w:sz w:val="16"/>
                <w:szCs w:val="16"/>
              </w:rPr>
            </w:pPr>
            <w:r>
              <w:rPr>
                <w:color w:val="9C0006"/>
                <w:sz w:val="16"/>
                <w:szCs w:val="16"/>
              </w:rPr>
              <w:t>0.2%</w:t>
            </w:r>
          </w:p>
        </w:tc>
        <w:tc>
          <w:tcPr>
            <w:tcW w:w="850" w:type="dxa"/>
            <w:tcBorders>
              <w:top w:val="nil"/>
              <w:left w:val="nil"/>
              <w:bottom w:val="nil"/>
              <w:right w:val="nil"/>
            </w:tcBorders>
            <w:shd w:val="clear" w:color="auto" w:fill="FFC7CE"/>
            <w:vAlign w:val="center"/>
          </w:tcPr>
          <w:p w:rsidR="009F06CA" w:rsidRDefault="00D0425F">
            <w:pPr>
              <w:spacing w:after="0" w:line="240" w:lineRule="auto"/>
              <w:jc w:val="center"/>
              <w:rPr>
                <w:color w:val="9C0006"/>
                <w:sz w:val="16"/>
                <w:szCs w:val="16"/>
              </w:rPr>
            </w:pPr>
            <w:r>
              <w:rPr>
                <w:color w:val="9C0006"/>
                <w:sz w:val="16"/>
                <w:szCs w:val="16"/>
              </w:rPr>
              <w:t>0.5%</w:t>
            </w:r>
          </w:p>
        </w:tc>
        <w:tc>
          <w:tcPr>
            <w:tcW w:w="850" w:type="dxa"/>
            <w:tcBorders>
              <w:top w:val="nil"/>
              <w:left w:val="nil"/>
              <w:bottom w:val="nil"/>
              <w:right w:val="single" w:sz="4" w:space="0" w:color="000000"/>
            </w:tcBorders>
            <w:shd w:val="clear" w:color="auto" w:fill="FFC7CE"/>
            <w:vAlign w:val="center"/>
          </w:tcPr>
          <w:p w:rsidR="009F06CA" w:rsidRDefault="00D0425F">
            <w:pPr>
              <w:spacing w:after="0" w:line="240" w:lineRule="auto"/>
              <w:jc w:val="center"/>
              <w:rPr>
                <w:color w:val="9C0006"/>
                <w:sz w:val="16"/>
                <w:szCs w:val="16"/>
              </w:rPr>
            </w:pPr>
            <w:r>
              <w:rPr>
                <w:color w:val="9C0006"/>
                <w:sz w:val="16"/>
                <w:szCs w:val="16"/>
              </w:rPr>
              <w:t>0.6%</w:t>
            </w:r>
          </w:p>
        </w:tc>
      </w:tr>
      <w:tr w:rsidR="009F06CA">
        <w:trPr>
          <w:trHeight w:val="255"/>
        </w:trPr>
        <w:tc>
          <w:tcPr>
            <w:tcW w:w="850" w:type="dxa"/>
            <w:tcBorders>
              <w:top w:val="nil"/>
              <w:left w:val="single" w:sz="4" w:space="0" w:color="000000"/>
              <w:bottom w:val="nil"/>
              <w:right w:val="nil"/>
            </w:tcBorders>
            <w:shd w:val="clear" w:color="auto" w:fill="auto"/>
            <w:vAlign w:val="center"/>
          </w:tcPr>
          <w:p w:rsidR="009F06CA" w:rsidRDefault="00D0425F">
            <w:pPr>
              <w:spacing w:after="0" w:line="240" w:lineRule="auto"/>
              <w:jc w:val="center"/>
              <w:rPr>
                <w:color w:val="000000"/>
                <w:sz w:val="16"/>
                <w:szCs w:val="16"/>
              </w:rPr>
            </w:pPr>
            <w:r>
              <w:rPr>
                <w:color w:val="000000"/>
                <w:sz w:val="16"/>
                <w:szCs w:val="16"/>
              </w:rPr>
              <w:t>Base</w:t>
            </w:r>
          </w:p>
        </w:tc>
        <w:tc>
          <w:tcPr>
            <w:tcW w:w="850" w:type="dxa"/>
            <w:tcBorders>
              <w:top w:val="nil"/>
              <w:left w:val="nil"/>
              <w:bottom w:val="nil"/>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-2.3%</w:t>
            </w:r>
          </w:p>
        </w:tc>
        <w:tc>
          <w:tcPr>
            <w:tcW w:w="850" w:type="dxa"/>
            <w:tcBorders>
              <w:top w:val="nil"/>
              <w:left w:val="nil"/>
              <w:bottom w:val="nil"/>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-1.5%</w:t>
            </w:r>
          </w:p>
        </w:tc>
        <w:tc>
          <w:tcPr>
            <w:tcW w:w="850" w:type="dxa"/>
            <w:tcBorders>
              <w:top w:val="nil"/>
              <w:left w:val="nil"/>
              <w:bottom w:val="nil"/>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-2.2%</w:t>
            </w:r>
          </w:p>
        </w:tc>
        <w:tc>
          <w:tcPr>
            <w:tcW w:w="850" w:type="dxa"/>
            <w:tcBorders>
              <w:top w:val="nil"/>
              <w:left w:val="nil"/>
              <w:bottom w:val="nil"/>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-1.8%</w:t>
            </w:r>
          </w:p>
        </w:tc>
        <w:tc>
          <w:tcPr>
            <w:tcW w:w="850" w:type="dxa"/>
            <w:tcBorders>
              <w:top w:val="nil"/>
              <w:left w:val="nil"/>
              <w:bottom w:val="nil"/>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-1.0%</w:t>
            </w:r>
          </w:p>
        </w:tc>
        <w:tc>
          <w:tcPr>
            <w:tcW w:w="850" w:type="dxa"/>
            <w:tcBorders>
              <w:top w:val="nil"/>
              <w:left w:val="nil"/>
              <w:bottom w:val="nil"/>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-0.6%</w:t>
            </w:r>
          </w:p>
        </w:tc>
        <w:tc>
          <w:tcPr>
            <w:tcW w:w="850" w:type="dxa"/>
            <w:tcBorders>
              <w:top w:val="nil"/>
              <w:left w:val="nil"/>
              <w:bottom w:val="nil"/>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-1.0%</w:t>
            </w:r>
          </w:p>
        </w:tc>
        <w:tc>
          <w:tcPr>
            <w:tcW w:w="850" w:type="dxa"/>
            <w:tcBorders>
              <w:top w:val="nil"/>
              <w:left w:val="nil"/>
              <w:bottom w:val="nil"/>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-0.6%</w:t>
            </w:r>
          </w:p>
        </w:tc>
        <w:tc>
          <w:tcPr>
            <w:tcW w:w="850" w:type="dxa"/>
            <w:tcBorders>
              <w:top w:val="nil"/>
              <w:left w:val="nil"/>
              <w:bottom w:val="nil"/>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-1.0%</w:t>
            </w:r>
          </w:p>
        </w:tc>
        <w:tc>
          <w:tcPr>
            <w:tcW w:w="850" w:type="dxa"/>
            <w:tcBorders>
              <w:top w:val="nil"/>
              <w:left w:val="nil"/>
              <w:bottom w:val="nil"/>
              <w:right w:val="single" w:sz="4" w:space="0" w:color="000000"/>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-0.6%</w:t>
            </w:r>
          </w:p>
        </w:tc>
      </w:tr>
      <w:tr w:rsidR="009F06CA">
        <w:trPr>
          <w:trHeight w:val="255"/>
        </w:trPr>
        <w:tc>
          <w:tcPr>
            <w:tcW w:w="850" w:type="dxa"/>
            <w:tcBorders>
              <w:top w:val="nil"/>
              <w:left w:val="single" w:sz="4" w:space="0" w:color="000000"/>
              <w:bottom w:val="single" w:sz="4" w:space="0" w:color="000000"/>
              <w:right w:val="nil"/>
            </w:tcBorders>
            <w:shd w:val="clear" w:color="auto" w:fill="auto"/>
            <w:vAlign w:val="center"/>
          </w:tcPr>
          <w:p w:rsidR="009F06CA" w:rsidRDefault="00D0425F">
            <w:pPr>
              <w:spacing w:after="0" w:line="240" w:lineRule="auto"/>
              <w:jc w:val="center"/>
              <w:rPr>
                <w:color w:val="000000"/>
                <w:sz w:val="16"/>
                <w:szCs w:val="16"/>
              </w:rPr>
            </w:pPr>
            <w:r>
              <w:rPr>
                <w:color w:val="000000"/>
                <w:sz w:val="16"/>
                <w:szCs w:val="16"/>
              </w:rPr>
              <w:t>Peak</w:t>
            </w:r>
          </w:p>
        </w:tc>
        <w:tc>
          <w:tcPr>
            <w:tcW w:w="850" w:type="dxa"/>
            <w:tcBorders>
              <w:top w:val="nil"/>
              <w:left w:val="nil"/>
              <w:bottom w:val="single" w:sz="4" w:space="0" w:color="000000"/>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-3.0%</w:t>
            </w:r>
          </w:p>
        </w:tc>
        <w:tc>
          <w:tcPr>
            <w:tcW w:w="850" w:type="dxa"/>
            <w:tcBorders>
              <w:top w:val="nil"/>
              <w:left w:val="nil"/>
              <w:bottom w:val="single" w:sz="4" w:space="0" w:color="000000"/>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-1.2%</w:t>
            </w:r>
          </w:p>
        </w:tc>
        <w:tc>
          <w:tcPr>
            <w:tcW w:w="850" w:type="dxa"/>
            <w:tcBorders>
              <w:top w:val="nil"/>
              <w:left w:val="nil"/>
              <w:bottom w:val="single" w:sz="4" w:space="0" w:color="000000"/>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-1.5%</w:t>
            </w:r>
          </w:p>
        </w:tc>
        <w:tc>
          <w:tcPr>
            <w:tcW w:w="850" w:type="dxa"/>
            <w:tcBorders>
              <w:top w:val="nil"/>
              <w:left w:val="nil"/>
              <w:bottom w:val="single" w:sz="4" w:space="0" w:color="000000"/>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-1.2%</w:t>
            </w:r>
          </w:p>
        </w:tc>
        <w:tc>
          <w:tcPr>
            <w:tcW w:w="850" w:type="dxa"/>
            <w:tcBorders>
              <w:top w:val="nil"/>
              <w:left w:val="nil"/>
              <w:bottom w:val="single" w:sz="4" w:space="0" w:color="000000"/>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-1.0%</w:t>
            </w:r>
          </w:p>
        </w:tc>
        <w:tc>
          <w:tcPr>
            <w:tcW w:w="850" w:type="dxa"/>
            <w:tcBorders>
              <w:top w:val="nil"/>
              <w:left w:val="nil"/>
              <w:bottom w:val="single" w:sz="4" w:space="0" w:color="000000"/>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-0.4%</w:t>
            </w:r>
          </w:p>
        </w:tc>
        <w:tc>
          <w:tcPr>
            <w:tcW w:w="850" w:type="dxa"/>
            <w:tcBorders>
              <w:top w:val="nil"/>
              <w:left w:val="nil"/>
              <w:bottom w:val="single" w:sz="4" w:space="0" w:color="000000"/>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-1.0%</w:t>
            </w:r>
          </w:p>
        </w:tc>
        <w:tc>
          <w:tcPr>
            <w:tcW w:w="850" w:type="dxa"/>
            <w:tcBorders>
              <w:top w:val="nil"/>
              <w:left w:val="nil"/>
              <w:bottom w:val="single" w:sz="4" w:space="0" w:color="000000"/>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-0.4%</w:t>
            </w:r>
          </w:p>
        </w:tc>
        <w:tc>
          <w:tcPr>
            <w:tcW w:w="850" w:type="dxa"/>
            <w:tcBorders>
              <w:top w:val="nil"/>
              <w:left w:val="nil"/>
              <w:bottom w:val="single" w:sz="4" w:space="0" w:color="000000"/>
              <w:right w:val="nil"/>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-1.0%</w:t>
            </w:r>
          </w:p>
        </w:tc>
        <w:tc>
          <w:tcPr>
            <w:tcW w:w="850" w:type="dxa"/>
            <w:tcBorders>
              <w:top w:val="nil"/>
              <w:left w:val="nil"/>
              <w:bottom w:val="single" w:sz="4" w:space="0" w:color="000000"/>
              <w:right w:val="single" w:sz="4" w:space="0" w:color="000000"/>
            </w:tcBorders>
            <w:shd w:val="clear" w:color="auto" w:fill="C6EFCE"/>
            <w:vAlign w:val="center"/>
          </w:tcPr>
          <w:p w:rsidR="009F06CA" w:rsidRDefault="00D0425F">
            <w:pPr>
              <w:spacing w:after="0" w:line="240" w:lineRule="auto"/>
              <w:jc w:val="center"/>
              <w:rPr>
                <w:color w:val="006100"/>
                <w:sz w:val="16"/>
                <w:szCs w:val="16"/>
              </w:rPr>
            </w:pPr>
            <w:r>
              <w:rPr>
                <w:color w:val="006100"/>
                <w:sz w:val="16"/>
                <w:szCs w:val="16"/>
              </w:rPr>
              <w:t>-0.4%</w:t>
            </w:r>
          </w:p>
        </w:tc>
      </w:tr>
    </w:tbl>
    <w:p w:rsidR="009F06CA" w:rsidRDefault="009F06CA">
      <w:pPr>
        <w:rPr>
          <w:color w:val="FF0000"/>
        </w:rPr>
      </w:pPr>
    </w:p>
    <w:p w:rsidR="009F06CA" w:rsidRDefault="00D0425F">
      <w:r>
        <w:t>In the future, CCS will want to automate the manual elements of this process and integrate the functions carried out in the offline Excel model directly into the ETS. CCS will work with the winning supplier on the best method to execute this.</w:t>
      </w:r>
    </w:p>
    <w:p w:rsidR="009F06CA" w:rsidRDefault="00D0425F">
      <w:r>
        <w:t>A possible mo</w:t>
      </w:r>
      <w:r>
        <w:t>del for this would be for CCS to automatically retrieve pricing data directly from providers’ FTP servers at a scheduled time overnight. The generation of half hourly / daily price curves would be carried out automatically with the resulting curves then au</w:t>
      </w:r>
      <w:r>
        <w:t>to-uploaded to supplier ETS via FTP or API. The winning system would then use the updated curves to update valuations, calculations and reports ready for use when trading starts.</w:t>
      </w:r>
    </w:p>
    <w:p w:rsidR="009F06CA" w:rsidRDefault="00D0425F">
      <w:r>
        <w:t xml:space="preserve">The preferred model would be for the ETS provider to upload the pricing data </w:t>
      </w:r>
      <w:r>
        <w:t>and auto-generate the curves in the ETS system. The logic for deciphering pricing data files applying the ratios to create the half hourly / daily curves would be implemented in the system, so that the ETS could complete loading of price data overnight pri</w:t>
      </w:r>
      <w:r>
        <w:t>or to any staff coming in.</w:t>
      </w:r>
    </w:p>
    <w:p w:rsidR="009F06CA" w:rsidRDefault="00D0425F">
      <w:r>
        <w:t>At present, only one price curve is loaded per commodity. In the future, CCS will want the option to load multiple price curves (for example, bid/offer/mid, or stressed curves for scenario testing) for each commodity, with the ab</w:t>
      </w:r>
      <w:r>
        <w:t>ility to designate the ‘standard’ curve used for positions and reporting by default.</w:t>
      </w:r>
    </w:p>
    <w:p w:rsidR="009F06CA" w:rsidRDefault="00D0425F">
      <w:r>
        <w:t>The contract prices (including the synthetic offer prices) would be automatically exported to files as at present. In addition, the prices would be stored in a database, e</w:t>
      </w:r>
      <w:r>
        <w:t>nabling them to be viewed via (for example) Power BI or imported into an Excel file via an SQL query.</w:t>
      </w:r>
    </w:p>
    <w:p w:rsidR="009F06CA" w:rsidRDefault="00D0425F">
      <w:r>
        <w:t>The contract variances table above would most likely be implemented in Power BI. When the ETS completes the price loading process, it executes a scheduled</w:t>
      </w:r>
      <w:r>
        <w:t xml:space="preserve"> task to e-mail the entire team letting them know that the report has been updated.</w:t>
      </w:r>
    </w:p>
    <w:p w:rsidR="009F06CA" w:rsidRDefault="00D0425F">
      <w:r>
        <w:t>Regardless of the price loading procedure being carried out automatically by the ETS, it will still be necessary for the system to be able to handle the process described a</w:t>
      </w:r>
      <w:r>
        <w:t>bove as a manual fallback in the event that issues occur, for example with access to the pricing data or with the processing of it in the system.</w:t>
      </w:r>
    </w:p>
    <w:p w:rsidR="009F06CA" w:rsidRDefault="00D0425F">
      <w:pPr>
        <w:pStyle w:val="Heading1"/>
      </w:pPr>
      <w:bookmarkStart w:id="19" w:name="_2ldd8s27iz97" w:colFirst="0" w:colLast="0"/>
      <w:bookmarkEnd w:id="19"/>
      <w:r>
        <w:t>Audit log</w:t>
      </w:r>
    </w:p>
    <w:p w:rsidR="009F06CA" w:rsidRDefault="00D0425F">
      <w:r>
        <w:t>The ETS includes a comprehensive audit log. This keeps a record of every action taken by the system that results in a change to the database. This includes both user-requested actions and those instigated automatically by the system.</w:t>
      </w:r>
    </w:p>
    <w:p w:rsidR="009F06CA" w:rsidRDefault="00D0425F">
      <w:r>
        <w:t>An example of a user i</w:t>
      </w:r>
      <w:r>
        <w:t>nstigated task would be entering a trade, or uploading a demand forecast via the web interface. In these instances, a user has given a command to the system to carry out an action. The system logs the request, the time of the request, the nature of the act</w:t>
      </w:r>
      <w:r>
        <w:t>ion, the user who has requested it, and the start time for processing the request. The action is then added to the systems queue of tasks, ready for processing.</w:t>
      </w:r>
    </w:p>
    <w:p w:rsidR="009F06CA" w:rsidRDefault="00D0425F">
      <w:r>
        <w:t>If the task completes successfully, the system will log the date and time of completion. As the</w:t>
      </w:r>
      <w:r>
        <w:t xml:space="preserve"> ETS is a multi-user system, this is particularly valuable to ensure that each user is aware of the status of other user’s tasks which may impact upon them: for example, if a trader sees that the risk analyst </w:t>
      </w:r>
      <w:r>
        <w:lastRenderedPageBreak/>
        <w:t>has uploaded a new demand forecast and the syst</w:t>
      </w:r>
      <w:r>
        <w:t>em is in the middle of processing it, they may choose to wait until that task has been logged as complete before viewing their positions.</w:t>
      </w:r>
    </w:p>
    <w:p w:rsidR="009F06CA" w:rsidRDefault="00D0425F">
      <w:r>
        <w:t>If a task fails, the system will log the date and time this happens, and the reason for failure. For example, if a pri</w:t>
      </w:r>
      <w:r>
        <w:t>ce upload template included daily prices when the ETS was expecting half hourly data, it would specify the row and column in the upload sheet where the unexpected data was found.</w:t>
      </w:r>
    </w:p>
    <w:p w:rsidR="009F06CA" w:rsidRDefault="00D0425F">
      <w:r>
        <w:t>As well as logging the actions of users, the system also keeps a record of an</w:t>
      </w:r>
      <w:r>
        <w:t>y actions it takes that will change the database. For example, in the price upload process described above, the system scans a directory for price files. When it detects one, it will upload it and attempt to load the data. It will log this, and record whet</w:t>
      </w:r>
      <w:r>
        <w:t>her the operation succeeds or fails. Once the price data has been uploaded, the system will need to recalculate positions for all affected baskets. This will be added to the task log as a separate entry, and the success or failure of the operation recorded</w:t>
      </w:r>
      <w:r>
        <w:t>.</w:t>
      </w:r>
    </w:p>
    <w:p w:rsidR="009F06CA" w:rsidRDefault="00D0425F">
      <w:r>
        <w:t>Keeping a record of all actions that change the system data is valuable for a number of reasons:</w:t>
      </w:r>
    </w:p>
    <w:p w:rsidR="009F06CA" w:rsidRDefault="00D0425F">
      <w:pPr>
        <w:numPr>
          <w:ilvl w:val="0"/>
          <w:numId w:val="12"/>
        </w:numPr>
        <w:spacing w:after="0"/>
      </w:pPr>
      <w:r>
        <w:t>It allows users to track everything the system is doing, and plan their inputs accordingly.</w:t>
      </w:r>
    </w:p>
    <w:p w:rsidR="009F06CA" w:rsidRDefault="00D0425F">
      <w:pPr>
        <w:numPr>
          <w:ilvl w:val="0"/>
          <w:numId w:val="12"/>
        </w:numPr>
        <w:spacing w:after="0"/>
      </w:pPr>
      <w:r>
        <w:t>It allows all changes to the database to be traced to their sourc</w:t>
      </w:r>
      <w:r>
        <w:t>e quickly and exactly, facilitating troubleshooting.</w:t>
      </w:r>
    </w:p>
    <w:p w:rsidR="009F06CA" w:rsidRDefault="00D0425F">
      <w:pPr>
        <w:numPr>
          <w:ilvl w:val="0"/>
          <w:numId w:val="12"/>
        </w:numPr>
      </w:pPr>
      <w:r>
        <w:t>It facilitates audit, ensuring that all actions can be traced back to the individual responsible.</w:t>
      </w:r>
    </w:p>
    <w:p w:rsidR="009F06CA" w:rsidRDefault="00D0425F">
      <w:pPr>
        <w:pStyle w:val="Heading1"/>
      </w:pPr>
      <w:bookmarkStart w:id="20" w:name="_twu092lc1kk7" w:colFirst="0" w:colLast="0"/>
      <w:bookmarkEnd w:id="20"/>
      <w:r>
        <w:t>Weather corrected gas demands</w:t>
      </w:r>
    </w:p>
    <w:p w:rsidR="009F06CA" w:rsidRDefault="00D0425F">
      <w:r>
        <w:t>Once the price data has been uploaded into the ETS, the risk analyst will p</w:t>
      </w:r>
      <w:r>
        <w:t>roceed to the audit log. Here they will check that the system has loaded the files and processed them successfully. Whilst in the audit log, they will also check a second automatic process has completed successfully: the loading of weather corrected gas de</w:t>
      </w:r>
      <w:r>
        <w:t>mands.</w:t>
      </w:r>
    </w:p>
    <w:p w:rsidR="009F06CA" w:rsidRDefault="00D0425F">
      <w:r>
        <w:t>In addition to the normal demand forecast for each gas basket, the suppliers also provide a short term view of demand adjusted to take into account the latest weather forecast. This forecast extends approximately 10 days forwards from the present an</w:t>
      </w:r>
      <w:r>
        <w:t>d is provided by the suppliers on a daily basis.</w:t>
      </w:r>
    </w:p>
    <w:p w:rsidR="009F06CA" w:rsidRDefault="00D0425F">
      <w:r>
        <w:t>To facilitate loading of the weather corrected demands, the process has been automated. Each supplier has been given access to an FTP server. Onto this server, they load their weather corrected demand foreca</w:t>
      </w:r>
      <w:r>
        <w:t>st, in the upload template format of the ETS. The ETS checks this server for files on a regular basis, and when it detects one, it attempts to load the data within. Success or failure of this operation is captured in the audit log.</w:t>
      </w:r>
    </w:p>
    <w:p w:rsidR="009F06CA" w:rsidRDefault="00D0425F">
      <w:r>
        <w:t>The ETS loads the weathe</w:t>
      </w:r>
      <w:r>
        <w:t>r corrected data into a separate demand position from the normal long term gas forecasts. This enables the traders to view either position as required, and ensures risk metrics for the long term hedges are not skewed by short term weather forecasts.</w:t>
      </w:r>
    </w:p>
    <w:p w:rsidR="009F06CA" w:rsidRDefault="00D0425F">
      <w:r>
        <w:t>Weathe</w:t>
      </w:r>
      <w:r>
        <w:t>r corrected demands can be viewed in the ETS or via the SSRS reports. Weather corrected demands are not used for risk reporting.</w:t>
      </w:r>
    </w:p>
    <w:p w:rsidR="009F06CA" w:rsidRDefault="00D0425F">
      <w:r>
        <w:t>Typical hedge position views are at monthly granularity showing average daily/total demand and volume purchased/remaining. By c</w:t>
      </w:r>
      <w:r>
        <w:t>ontrast, gas weather corrected positions are viewed at a daily granularity to allow traders to fine tune their position to match daily weather corrected demand forecasts.</w:t>
      </w:r>
    </w:p>
    <w:p w:rsidR="009F06CA" w:rsidRDefault="00D0425F">
      <w:pPr>
        <w:pStyle w:val="Heading1"/>
      </w:pPr>
      <w:bookmarkStart w:id="21" w:name="_c28tnegg10wh" w:colFirst="0" w:colLast="0"/>
      <w:bookmarkEnd w:id="21"/>
      <w:r>
        <w:lastRenderedPageBreak/>
        <w:t>Risk report generation</w:t>
      </w:r>
    </w:p>
    <w:p w:rsidR="009F06CA" w:rsidRDefault="00D0425F">
      <w:r>
        <w:t xml:space="preserve">Once the risk analyst is satisfied that the ETS has correctly </w:t>
      </w:r>
      <w:r>
        <w:t>loaded all pricing data and the weather corrected gas demands, they move on to generating the daily risk reports. This is done by extracting data from the ETS into an Excel model, with a series of VBA macros used to automate the process.</w:t>
      </w:r>
    </w:p>
    <w:p w:rsidR="009F06CA" w:rsidRDefault="00D0425F">
      <w:r>
        <w:t>Firstly, the model</w:t>
      </w:r>
      <w:r>
        <w:t xml:space="preserve"> calculates market volatility for each monthly contract (base and peak). The monthly prices are a combination of quoted and derived from other quoted products.  Currently annualised volatilities are calculated from the past 5 and 60 observations. The calcu</w:t>
      </w:r>
      <w:r>
        <w:t>lated annualised volatility is used to calculate Cost at Risk (a variation of Value at Risk) for each basket, for each month, based on the open position. The results feed into position calculations and risk controls.</w:t>
      </w:r>
    </w:p>
    <w:p w:rsidR="009F06CA" w:rsidRDefault="00D0425F">
      <w:pPr>
        <w:pStyle w:val="Heading1"/>
      </w:pPr>
      <w:bookmarkStart w:id="22" w:name="_jxr568e3k19q" w:colFirst="0" w:colLast="0"/>
      <w:bookmarkEnd w:id="22"/>
      <w:r>
        <w:t>Position calculation</w:t>
      </w:r>
    </w:p>
    <w:p w:rsidR="009F06CA" w:rsidRDefault="00D0425F">
      <w:r>
        <w:t>The model connects</w:t>
      </w:r>
      <w:r>
        <w:t xml:space="preserve"> to the ETS using an SQL query, and extracts position data for each basket. The query returns monthly positions for each basket, with one month to each line. For a typical gas basket with one delivery year, this results in 12 lines of data for each basket.</w:t>
      </w:r>
      <w:r>
        <w:t xml:space="preserve"> For a typical power basket, there are 2 lines of data for each month: one with the baseload position and one with the peakload position, for a total of 24 lines per power basket.</w:t>
      </w:r>
    </w:p>
    <w:p w:rsidR="009F06CA" w:rsidRDefault="00D0425F">
      <w:r>
        <w:t>Each column in the SQL query results captures a different data point for eac</w:t>
      </w:r>
      <w:r>
        <w:t>h monthly basket position. This includes items such as the demand forecast, the volume purchased to date, the cost of the trades executed to date, and the market price of the open position.</w:t>
      </w:r>
    </w:p>
    <w:p w:rsidR="009F06CA" w:rsidRDefault="00D0425F">
      <w:r>
        <w:t>More information about query outputs, with a full list of the data</w:t>
      </w:r>
      <w:r>
        <w:t xml:space="preserve"> headers, can be found in Appendix 2.</w:t>
      </w:r>
    </w:p>
    <w:p w:rsidR="009F06CA" w:rsidRDefault="00D0425F">
      <w:pPr>
        <w:jc w:val="center"/>
      </w:pPr>
      <w:r>
        <w:rPr>
          <w:noProof/>
        </w:rPr>
        <w:drawing>
          <wp:inline distT="114300" distB="114300" distL="114300" distR="114300">
            <wp:extent cx="5734050" cy="2501900"/>
            <wp:effectExtent l="0" t="0" r="0" b="0"/>
            <wp:docPr id="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7"/>
                    <a:srcRect/>
                    <a:stretch>
                      <a:fillRect/>
                    </a:stretch>
                  </pic:blipFill>
                  <pic:spPr>
                    <a:xfrm>
                      <a:off x="0" y="0"/>
                      <a:ext cx="5734050" cy="2501900"/>
                    </a:xfrm>
                    <a:prstGeom prst="rect">
                      <a:avLst/>
                    </a:prstGeom>
                    <a:ln/>
                  </pic:spPr>
                </pic:pic>
              </a:graphicData>
            </a:graphic>
          </wp:inline>
        </w:drawing>
      </w:r>
      <w:r>
        <w:rPr>
          <w:i/>
          <w:sz w:val="18"/>
          <w:szCs w:val="18"/>
        </w:rPr>
        <w:t>Example SQL query output showing power baskets (note separate lines for base and peak) populated with dummy data.</w:t>
      </w:r>
    </w:p>
    <w:p w:rsidR="009F06CA" w:rsidRDefault="00D0425F">
      <w:r>
        <w:t>To calculate positions, the system calculates a number of values for each basket in every relevant peri</w:t>
      </w:r>
      <w:r>
        <w:t>od (daily for gas, half hourly for power):</w:t>
      </w:r>
    </w:p>
    <w:tbl>
      <w:tblPr>
        <w:tblStyle w:val="a2"/>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45"/>
        <w:gridCol w:w="6855"/>
      </w:tblGrid>
      <w:tr w:rsidR="009F06CA">
        <w:tc>
          <w:tcPr>
            <w:tcW w:w="2145" w:type="dxa"/>
            <w:shd w:val="clear" w:color="auto" w:fill="1C4587"/>
            <w:tcMar>
              <w:top w:w="28" w:type="dxa"/>
              <w:left w:w="28" w:type="dxa"/>
              <w:bottom w:w="28" w:type="dxa"/>
              <w:right w:w="28" w:type="dxa"/>
            </w:tcMar>
            <w:vAlign w:val="center"/>
          </w:tcPr>
          <w:p w:rsidR="009F06CA" w:rsidRDefault="00D0425F">
            <w:pPr>
              <w:widowControl w:val="0"/>
              <w:pBdr>
                <w:top w:val="nil"/>
                <w:left w:val="nil"/>
                <w:bottom w:val="nil"/>
                <w:right w:val="nil"/>
                <w:between w:val="nil"/>
              </w:pBdr>
              <w:spacing w:after="0" w:line="240" w:lineRule="auto"/>
              <w:rPr>
                <w:b/>
                <w:color w:val="FFFFFF"/>
                <w:sz w:val="20"/>
                <w:szCs w:val="20"/>
              </w:rPr>
            </w:pPr>
            <w:r>
              <w:rPr>
                <w:b/>
                <w:color w:val="FFFFFF"/>
                <w:sz w:val="20"/>
                <w:szCs w:val="20"/>
              </w:rPr>
              <w:t>Value</w:t>
            </w:r>
          </w:p>
        </w:tc>
        <w:tc>
          <w:tcPr>
            <w:tcW w:w="6855" w:type="dxa"/>
            <w:shd w:val="clear" w:color="auto" w:fill="1C4587"/>
            <w:tcMar>
              <w:top w:w="28" w:type="dxa"/>
              <w:left w:w="28" w:type="dxa"/>
              <w:bottom w:w="28" w:type="dxa"/>
              <w:right w:w="28" w:type="dxa"/>
            </w:tcMar>
            <w:vAlign w:val="center"/>
          </w:tcPr>
          <w:p w:rsidR="009F06CA" w:rsidRDefault="00D0425F">
            <w:pPr>
              <w:widowControl w:val="0"/>
              <w:pBdr>
                <w:top w:val="nil"/>
                <w:left w:val="nil"/>
                <w:bottom w:val="nil"/>
                <w:right w:val="nil"/>
                <w:between w:val="nil"/>
              </w:pBdr>
              <w:spacing w:after="0" w:line="240" w:lineRule="auto"/>
              <w:rPr>
                <w:b/>
                <w:color w:val="FFFFFF"/>
                <w:sz w:val="20"/>
                <w:szCs w:val="20"/>
              </w:rPr>
            </w:pPr>
            <w:r>
              <w:rPr>
                <w:b/>
                <w:color w:val="FFFFFF"/>
                <w:sz w:val="20"/>
                <w:szCs w:val="20"/>
              </w:rPr>
              <w:t>Explanation</w:t>
            </w:r>
          </w:p>
        </w:tc>
      </w:tr>
      <w:tr w:rsidR="009F06CA">
        <w:trPr>
          <w:trHeight w:val="285"/>
        </w:trPr>
        <w:tc>
          <w:tcPr>
            <w:tcW w:w="2145" w:type="dxa"/>
            <w:shd w:val="clear" w:color="auto" w:fill="auto"/>
            <w:tcMar>
              <w:top w:w="28" w:type="dxa"/>
              <w:left w:w="28" w:type="dxa"/>
              <w:bottom w:w="28" w:type="dxa"/>
              <w:right w:w="28" w:type="dxa"/>
            </w:tcMar>
            <w:vAlign w:val="center"/>
          </w:tcPr>
          <w:p w:rsidR="009F06CA" w:rsidRDefault="00D0425F">
            <w:pPr>
              <w:rPr>
                <w:sz w:val="20"/>
                <w:szCs w:val="20"/>
              </w:rPr>
            </w:pPr>
            <w:r>
              <w:rPr>
                <w:sz w:val="20"/>
                <w:szCs w:val="20"/>
              </w:rPr>
              <w:t>Volume required</w:t>
            </w:r>
          </w:p>
        </w:tc>
        <w:tc>
          <w:tcPr>
            <w:tcW w:w="6855" w:type="dxa"/>
            <w:shd w:val="clear" w:color="auto" w:fill="auto"/>
            <w:tcMar>
              <w:top w:w="28" w:type="dxa"/>
              <w:left w:w="28" w:type="dxa"/>
              <w:bottom w:w="28" w:type="dxa"/>
              <w:right w:w="28" w:type="dxa"/>
            </w:tcMar>
            <w:vAlign w:val="center"/>
          </w:tcPr>
          <w:p w:rsidR="009F06CA" w:rsidRDefault="00D0425F">
            <w:pPr>
              <w:rPr>
                <w:sz w:val="20"/>
                <w:szCs w:val="20"/>
              </w:rPr>
            </w:pPr>
            <w:r>
              <w:rPr>
                <w:sz w:val="20"/>
                <w:szCs w:val="20"/>
              </w:rPr>
              <w:t>The volume that must be purchased in the period, based on the current demand forecast / purchasing requirement.</w:t>
            </w:r>
          </w:p>
        </w:tc>
      </w:tr>
      <w:tr w:rsidR="009F06CA">
        <w:tc>
          <w:tcPr>
            <w:tcW w:w="2145" w:type="dxa"/>
            <w:shd w:val="clear" w:color="auto" w:fill="auto"/>
            <w:tcMar>
              <w:top w:w="28" w:type="dxa"/>
              <w:left w:w="28" w:type="dxa"/>
              <w:bottom w:w="28" w:type="dxa"/>
              <w:right w:w="28" w:type="dxa"/>
            </w:tcMar>
            <w:vAlign w:val="center"/>
          </w:tcPr>
          <w:p w:rsidR="009F06CA" w:rsidRDefault="00D0425F">
            <w:pPr>
              <w:rPr>
                <w:sz w:val="20"/>
                <w:szCs w:val="20"/>
              </w:rPr>
            </w:pPr>
            <w:r>
              <w:rPr>
                <w:sz w:val="20"/>
                <w:szCs w:val="20"/>
              </w:rPr>
              <w:t>Volume done</w:t>
            </w:r>
          </w:p>
        </w:tc>
        <w:tc>
          <w:tcPr>
            <w:tcW w:w="6855" w:type="dxa"/>
            <w:shd w:val="clear" w:color="auto" w:fill="auto"/>
            <w:tcMar>
              <w:top w:w="28" w:type="dxa"/>
              <w:left w:w="28" w:type="dxa"/>
              <w:bottom w:w="28" w:type="dxa"/>
              <w:right w:w="28" w:type="dxa"/>
            </w:tcMar>
            <w:vAlign w:val="center"/>
          </w:tcPr>
          <w:p w:rsidR="009F06CA" w:rsidRDefault="00D0425F">
            <w:pPr>
              <w:rPr>
                <w:sz w:val="20"/>
                <w:szCs w:val="20"/>
              </w:rPr>
            </w:pPr>
            <w:r>
              <w:rPr>
                <w:sz w:val="20"/>
                <w:szCs w:val="20"/>
              </w:rPr>
              <w:t>The total volume purchased from all trades that cover the relevant period.</w:t>
            </w:r>
          </w:p>
        </w:tc>
      </w:tr>
      <w:tr w:rsidR="009F06CA">
        <w:trPr>
          <w:trHeight w:val="645"/>
        </w:trPr>
        <w:tc>
          <w:tcPr>
            <w:tcW w:w="2145" w:type="dxa"/>
            <w:shd w:val="clear" w:color="auto" w:fill="auto"/>
            <w:tcMar>
              <w:top w:w="28" w:type="dxa"/>
              <w:left w:w="28" w:type="dxa"/>
              <w:bottom w:w="28" w:type="dxa"/>
              <w:right w:w="28" w:type="dxa"/>
            </w:tcMar>
            <w:vAlign w:val="center"/>
          </w:tcPr>
          <w:p w:rsidR="009F06CA" w:rsidRDefault="00D0425F">
            <w:pPr>
              <w:rPr>
                <w:sz w:val="20"/>
                <w:szCs w:val="20"/>
              </w:rPr>
            </w:pPr>
            <w:r>
              <w:rPr>
                <w:sz w:val="20"/>
                <w:szCs w:val="20"/>
              </w:rPr>
              <w:t>Value done</w:t>
            </w:r>
          </w:p>
        </w:tc>
        <w:tc>
          <w:tcPr>
            <w:tcW w:w="6855" w:type="dxa"/>
            <w:shd w:val="clear" w:color="auto" w:fill="auto"/>
            <w:tcMar>
              <w:top w:w="28" w:type="dxa"/>
              <w:left w:w="28" w:type="dxa"/>
              <w:bottom w:w="28" w:type="dxa"/>
              <w:right w:w="28" w:type="dxa"/>
            </w:tcMar>
            <w:vAlign w:val="center"/>
          </w:tcPr>
          <w:p w:rsidR="009F06CA" w:rsidRDefault="00D0425F">
            <w:pPr>
              <w:rPr>
                <w:sz w:val="20"/>
                <w:szCs w:val="20"/>
              </w:rPr>
            </w:pPr>
            <w:r>
              <w:rPr>
                <w:sz w:val="20"/>
                <w:szCs w:val="20"/>
              </w:rPr>
              <w:t>The total cost of all trades that cover the relevant period.</w:t>
            </w:r>
          </w:p>
        </w:tc>
      </w:tr>
      <w:tr w:rsidR="009F06CA">
        <w:tc>
          <w:tcPr>
            <w:tcW w:w="2145" w:type="dxa"/>
            <w:shd w:val="clear" w:color="auto" w:fill="auto"/>
            <w:tcMar>
              <w:top w:w="28" w:type="dxa"/>
              <w:left w:w="28" w:type="dxa"/>
              <w:bottom w:w="28" w:type="dxa"/>
              <w:right w:w="28" w:type="dxa"/>
            </w:tcMar>
            <w:vAlign w:val="center"/>
          </w:tcPr>
          <w:p w:rsidR="009F06CA" w:rsidRDefault="00D0425F">
            <w:pPr>
              <w:rPr>
                <w:sz w:val="20"/>
                <w:szCs w:val="20"/>
              </w:rPr>
            </w:pPr>
            <w:r>
              <w:rPr>
                <w:sz w:val="20"/>
                <w:szCs w:val="20"/>
              </w:rPr>
              <w:lastRenderedPageBreak/>
              <w:t>Volume outstanding</w:t>
            </w:r>
          </w:p>
        </w:tc>
        <w:tc>
          <w:tcPr>
            <w:tcW w:w="6855" w:type="dxa"/>
            <w:shd w:val="clear" w:color="auto" w:fill="auto"/>
            <w:tcMar>
              <w:top w:w="28" w:type="dxa"/>
              <w:left w:w="28" w:type="dxa"/>
              <w:bottom w:w="28" w:type="dxa"/>
              <w:right w:w="28" w:type="dxa"/>
            </w:tcMar>
            <w:vAlign w:val="center"/>
          </w:tcPr>
          <w:p w:rsidR="009F06CA" w:rsidRDefault="00D0425F">
            <w:pPr>
              <w:rPr>
                <w:sz w:val="20"/>
                <w:szCs w:val="20"/>
              </w:rPr>
            </w:pPr>
            <w:r>
              <w:rPr>
                <w:sz w:val="20"/>
                <w:szCs w:val="20"/>
              </w:rPr>
              <w:t>Volume required - volume done</w:t>
            </w:r>
          </w:p>
        </w:tc>
      </w:tr>
      <w:tr w:rsidR="009F06CA">
        <w:tc>
          <w:tcPr>
            <w:tcW w:w="2145" w:type="dxa"/>
            <w:shd w:val="clear" w:color="auto" w:fill="auto"/>
            <w:tcMar>
              <w:top w:w="28" w:type="dxa"/>
              <w:left w:w="28" w:type="dxa"/>
              <w:bottom w:w="28" w:type="dxa"/>
              <w:right w:w="28" w:type="dxa"/>
            </w:tcMar>
            <w:vAlign w:val="center"/>
          </w:tcPr>
          <w:p w:rsidR="009F06CA" w:rsidRDefault="00D0425F">
            <w:pPr>
              <w:rPr>
                <w:sz w:val="20"/>
                <w:szCs w:val="20"/>
              </w:rPr>
            </w:pPr>
            <w:r>
              <w:rPr>
                <w:sz w:val="20"/>
                <w:szCs w:val="20"/>
              </w:rPr>
              <w:t>Value outstanding</w:t>
            </w:r>
          </w:p>
        </w:tc>
        <w:tc>
          <w:tcPr>
            <w:tcW w:w="6855" w:type="dxa"/>
            <w:shd w:val="clear" w:color="auto" w:fill="auto"/>
            <w:tcMar>
              <w:top w:w="28" w:type="dxa"/>
              <w:left w:w="28" w:type="dxa"/>
              <w:bottom w:w="28" w:type="dxa"/>
              <w:right w:w="28" w:type="dxa"/>
            </w:tcMar>
            <w:vAlign w:val="center"/>
          </w:tcPr>
          <w:p w:rsidR="009F06CA" w:rsidRDefault="00D0425F">
            <w:pPr>
              <w:rPr>
                <w:sz w:val="20"/>
                <w:szCs w:val="20"/>
              </w:rPr>
            </w:pPr>
            <w:r>
              <w:rPr>
                <w:sz w:val="20"/>
                <w:szCs w:val="20"/>
              </w:rPr>
              <w:t>Volume outstanding * period market price (from the forward curve)</w:t>
            </w:r>
          </w:p>
        </w:tc>
      </w:tr>
    </w:tbl>
    <w:p w:rsidR="009F06CA" w:rsidRDefault="009F06CA"/>
    <w:p w:rsidR="009F06CA" w:rsidRDefault="00D0425F">
      <w:pPr>
        <w:rPr>
          <w:b/>
          <w:u w:val="single"/>
        </w:rPr>
      </w:pPr>
      <w:r>
        <w:rPr>
          <w:b/>
          <w:u w:val="single"/>
        </w:rPr>
        <w:t>Example position calculation:</w:t>
      </w:r>
    </w:p>
    <w:p w:rsidR="009F06CA" w:rsidRDefault="00D0425F">
      <w:r>
        <w:t>This example demonstrates how the system calculates the position for a single period of a gas basket. Gas positions are calculated at daily granularity, so each period represents a single day. The delivery period used for this example will be the 3rd of Ap</w:t>
      </w:r>
      <w:r>
        <w:t>ril only.</w:t>
      </w:r>
    </w:p>
    <w:p w:rsidR="009F06CA" w:rsidRDefault="00D0425F">
      <w:r>
        <w:t>Demand forecast for the 3rd of April is 100,000 therms.</w:t>
      </w:r>
    </w:p>
    <w:p w:rsidR="009F06CA" w:rsidRDefault="00D0425F">
      <w:r>
        <w:t>To date, two trades have been entered that affect this period:</w:t>
      </w:r>
    </w:p>
    <w:p w:rsidR="009F06CA" w:rsidRDefault="00D0425F">
      <w:pPr>
        <w:numPr>
          <w:ilvl w:val="0"/>
          <w:numId w:val="6"/>
        </w:numPr>
        <w:spacing w:after="0"/>
      </w:pPr>
      <w:r>
        <w:t>An April month trade for 10,000 therms/day at 50.00p/therm.</w:t>
      </w:r>
    </w:p>
    <w:p w:rsidR="009F06CA" w:rsidRDefault="00D0425F">
      <w:pPr>
        <w:numPr>
          <w:ilvl w:val="0"/>
          <w:numId w:val="6"/>
        </w:numPr>
      </w:pPr>
      <w:r>
        <w:t>A summer season trade for 5,000 therms/day at 40.00p/therm.</w:t>
      </w:r>
    </w:p>
    <w:p w:rsidR="009F06CA" w:rsidRDefault="00D0425F">
      <w:r>
        <w:t>The mar</w:t>
      </w:r>
      <w:r>
        <w:t>ket price for the 3rd of April  is 45.00p/therm (taken from the forward curve.)</w:t>
      </w:r>
    </w:p>
    <w:p w:rsidR="009F06CA" w:rsidRDefault="00D0425F">
      <w:pPr>
        <w:rPr>
          <w:b/>
          <w:u w:val="single"/>
        </w:rPr>
      </w:pPr>
      <w:r>
        <w:rPr>
          <w:b/>
          <w:u w:val="single"/>
        </w:rPr>
        <w:t>Calculations:</w:t>
      </w:r>
    </w:p>
    <w:p w:rsidR="009F06CA" w:rsidRDefault="00D0425F">
      <w:pPr>
        <w:numPr>
          <w:ilvl w:val="0"/>
          <w:numId w:val="7"/>
        </w:numPr>
        <w:spacing w:after="0"/>
      </w:pPr>
      <w:r>
        <w:t>Volume required for the period is 100,000 therms (taken from the demand forecast.)</w:t>
      </w:r>
    </w:p>
    <w:p w:rsidR="009F06CA" w:rsidRDefault="00D0425F">
      <w:pPr>
        <w:numPr>
          <w:ilvl w:val="0"/>
          <w:numId w:val="7"/>
        </w:numPr>
        <w:spacing w:after="0"/>
      </w:pPr>
      <w:r>
        <w:t>Volume done is 15,000 therms (10,000 for the month trade + 5,000 for the season</w:t>
      </w:r>
      <w:r>
        <w:t xml:space="preserve"> trade.)</w:t>
      </w:r>
    </w:p>
    <w:p w:rsidR="009F06CA" w:rsidRDefault="00D0425F">
      <w:pPr>
        <w:numPr>
          <w:ilvl w:val="0"/>
          <w:numId w:val="7"/>
        </w:numPr>
        <w:spacing w:after="0"/>
      </w:pPr>
      <w:r>
        <w:t>Value done is £7,000 (10,000 therms * 50p/therm + 5,000 therms * 40p/therm.)</w:t>
      </w:r>
    </w:p>
    <w:p w:rsidR="009F06CA" w:rsidRDefault="00D0425F">
      <w:pPr>
        <w:numPr>
          <w:ilvl w:val="0"/>
          <w:numId w:val="7"/>
        </w:numPr>
        <w:spacing w:after="0"/>
      </w:pPr>
      <w:r>
        <w:t>Volume outstanding is 85,000 therms (100,000 required - 15,000 done.)</w:t>
      </w:r>
    </w:p>
    <w:p w:rsidR="009F06CA" w:rsidRDefault="00D0425F">
      <w:pPr>
        <w:numPr>
          <w:ilvl w:val="0"/>
          <w:numId w:val="7"/>
        </w:numPr>
      </w:pPr>
      <w:r>
        <w:t xml:space="preserve">Value outstanding is £38,250 (85,000 therms outstanding * 45p/therm market price.) </w:t>
      </w:r>
    </w:p>
    <w:p w:rsidR="009F06CA" w:rsidRDefault="00D0425F">
      <w:r>
        <w:t xml:space="preserve">Once the system </w:t>
      </w:r>
      <w:r>
        <w:t>has calculated the position for each period, it can aggregate these to give a monthly position for the basket.</w:t>
      </w:r>
    </w:p>
    <w:p w:rsidR="009F06CA" w:rsidRDefault="00D0425F">
      <w:r>
        <w:t>The position calculations for each basket are completely independent of all others. In the example above, the demand forecast is for one specific</w:t>
      </w:r>
      <w:r>
        <w:t xml:space="preserve"> basket. The two trades secure volume for that basket only. As such, the position calculated is unique to that basket and does not apply to any others. The only element shared by multiple baskets is the forward price curve, which is common to all baskets w</w:t>
      </w:r>
      <w:r>
        <w:t>ith the same commodity.</w:t>
      </w:r>
    </w:p>
    <w:p w:rsidR="009F06CA" w:rsidRDefault="00D0425F">
      <w:r>
        <w:t>Positions need to be calculated for each basket individually. For power baskets, two separate positions for baseload and peakload are calculated. Although they both relate to the same basket for delivery purposes, from a system poin</w:t>
      </w:r>
      <w:r>
        <w:t>t of view they can be imagined as two independent baskets, one which only contains baseload, and another which only contains peakload. The overall position of the combined basket is only calculated at the output stage, and is simply the sum of the baseload</w:t>
      </w:r>
      <w:r>
        <w:t xml:space="preserve"> and peakload positions:</w:t>
      </w:r>
    </w:p>
    <w:tbl>
      <w:tblPr>
        <w:tblStyle w:val="a3"/>
        <w:tblW w:w="8115" w:type="dxa"/>
        <w:tblBorders>
          <w:top w:val="nil"/>
          <w:left w:val="nil"/>
          <w:bottom w:val="nil"/>
          <w:right w:val="nil"/>
          <w:insideH w:val="nil"/>
          <w:insideV w:val="nil"/>
        </w:tblBorders>
        <w:tblLayout w:type="fixed"/>
        <w:tblLook w:val="0600" w:firstRow="0" w:lastRow="0" w:firstColumn="0" w:lastColumn="0" w:noHBand="1" w:noVBand="1"/>
      </w:tblPr>
      <w:tblGrid>
        <w:gridCol w:w="2670"/>
        <w:gridCol w:w="2565"/>
        <w:gridCol w:w="225"/>
        <w:gridCol w:w="2655"/>
      </w:tblGrid>
      <w:tr w:rsidR="009F06CA">
        <w:trPr>
          <w:trHeight w:val="300"/>
        </w:trPr>
        <w:tc>
          <w:tcPr>
            <w:tcW w:w="2670" w:type="dxa"/>
            <w:tcBorders>
              <w:top w:val="single" w:sz="6" w:space="0" w:color="000000"/>
              <w:left w:val="single" w:sz="6" w:space="0" w:color="000000"/>
              <w:bottom w:val="single" w:sz="6" w:space="0" w:color="000000"/>
              <w:right w:val="single" w:sz="6" w:space="0" w:color="000000"/>
            </w:tcBorders>
            <w:shd w:val="clear" w:color="auto" w:fill="0070C0"/>
            <w:tcMar>
              <w:top w:w="0" w:type="dxa"/>
              <w:left w:w="40" w:type="dxa"/>
              <w:bottom w:w="0" w:type="dxa"/>
              <w:right w:w="40" w:type="dxa"/>
            </w:tcMar>
            <w:vAlign w:val="bottom"/>
          </w:tcPr>
          <w:p w:rsidR="009F06CA" w:rsidRDefault="00D0425F">
            <w:pPr>
              <w:widowControl w:val="0"/>
              <w:spacing w:after="0" w:line="276" w:lineRule="auto"/>
            </w:pPr>
            <w:r>
              <w:rPr>
                <w:b/>
                <w:color w:val="FFFFFF"/>
              </w:rPr>
              <w:t>Basket position</w:t>
            </w:r>
          </w:p>
        </w:tc>
        <w:tc>
          <w:tcPr>
            <w:tcW w:w="5445" w:type="dxa"/>
            <w:gridSpan w:val="3"/>
            <w:tcBorders>
              <w:top w:val="single" w:sz="6" w:space="0" w:color="000000"/>
              <w:left w:val="nil"/>
              <w:bottom w:val="single" w:sz="6" w:space="0" w:color="000000"/>
              <w:right w:val="single" w:sz="6" w:space="0" w:color="000000"/>
            </w:tcBorders>
            <w:shd w:val="clear" w:color="auto" w:fill="0070C0"/>
            <w:tcMar>
              <w:top w:w="0" w:type="dxa"/>
              <w:left w:w="40" w:type="dxa"/>
              <w:bottom w:w="0" w:type="dxa"/>
              <w:right w:w="40" w:type="dxa"/>
            </w:tcMar>
            <w:vAlign w:val="bottom"/>
          </w:tcPr>
          <w:p w:rsidR="009F06CA" w:rsidRDefault="00D0425F">
            <w:pPr>
              <w:widowControl w:val="0"/>
              <w:spacing w:after="0" w:line="276" w:lineRule="auto"/>
            </w:pPr>
            <w:r>
              <w:rPr>
                <w:b/>
                <w:color w:val="FFFFFF"/>
              </w:rPr>
              <w:t>Calculation</w:t>
            </w:r>
          </w:p>
        </w:tc>
      </w:tr>
      <w:tr w:rsidR="009F06CA">
        <w:trPr>
          <w:trHeight w:val="300"/>
        </w:trPr>
        <w:tc>
          <w:tcPr>
            <w:tcW w:w="2670" w:type="dxa"/>
            <w:tcBorders>
              <w:top w:val="nil"/>
              <w:left w:val="single" w:sz="6" w:space="0" w:color="000000"/>
              <w:bottom w:val="nil"/>
              <w:right w:val="single" w:sz="6" w:space="0" w:color="000000"/>
            </w:tcBorders>
            <w:tcMar>
              <w:top w:w="0" w:type="dxa"/>
              <w:left w:w="40" w:type="dxa"/>
              <w:bottom w:w="0" w:type="dxa"/>
              <w:right w:w="40" w:type="dxa"/>
            </w:tcMar>
            <w:vAlign w:val="bottom"/>
          </w:tcPr>
          <w:p w:rsidR="009F06CA" w:rsidRDefault="00D0425F">
            <w:pPr>
              <w:widowControl w:val="0"/>
              <w:spacing w:after="0" w:line="276" w:lineRule="auto"/>
            </w:pPr>
            <w:r>
              <w:t>Basket volume required</w:t>
            </w:r>
          </w:p>
        </w:tc>
        <w:tc>
          <w:tcPr>
            <w:tcW w:w="2565" w:type="dxa"/>
            <w:tcBorders>
              <w:top w:val="nil"/>
              <w:left w:val="nil"/>
              <w:bottom w:val="nil"/>
              <w:right w:val="nil"/>
            </w:tcBorders>
            <w:tcMar>
              <w:top w:w="0" w:type="dxa"/>
              <w:left w:w="40" w:type="dxa"/>
              <w:bottom w:w="0" w:type="dxa"/>
              <w:right w:w="40" w:type="dxa"/>
            </w:tcMar>
            <w:vAlign w:val="bottom"/>
          </w:tcPr>
          <w:p w:rsidR="009F06CA" w:rsidRDefault="00D0425F">
            <w:pPr>
              <w:widowControl w:val="0"/>
              <w:spacing w:after="0" w:line="276" w:lineRule="auto"/>
            </w:pPr>
            <w:r>
              <w:t>Baseload volume required</w:t>
            </w:r>
          </w:p>
        </w:tc>
        <w:tc>
          <w:tcPr>
            <w:tcW w:w="225" w:type="dxa"/>
            <w:tcBorders>
              <w:top w:val="nil"/>
              <w:left w:val="nil"/>
              <w:bottom w:val="nil"/>
              <w:right w:val="nil"/>
            </w:tcBorders>
            <w:tcMar>
              <w:top w:w="0" w:type="dxa"/>
              <w:left w:w="40" w:type="dxa"/>
              <w:bottom w:w="0" w:type="dxa"/>
              <w:right w:w="40" w:type="dxa"/>
            </w:tcMar>
            <w:vAlign w:val="bottom"/>
          </w:tcPr>
          <w:p w:rsidR="009F06CA" w:rsidRDefault="00D0425F">
            <w:pPr>
              <w:widowControl w:val="0"/>
              <w:spacing w:after="0" w:line="276" w:lineRule="auto"/>
            </w:pPr>
            <w:r>
              <w:t>+</w:t>
            </w:r>
          </w:p>
        </w:tc>
        <w:tc>
          <w:tcPr>
            <w:tcW w:w="2655" w:type="dxa"/>
            <w:tcBorders>
              <w:top w:val="nil"/>
              <w:left w:val="nil"/>
              <w:bottom w:val="nil"/>
              <w:right w:val="single" w:sz="6" w:space="0" w:color="000000"/>
            </w:tcBorders>
            <w:tcMar>
              <w:top w:w="0" w:type="dxa"/>
              <w:left w:w="40" w:type="dxa"/>
              <w:bottom w:w="0" w:type="dxa"/>
              <w:right w:w="40" w:type="dxa"/>
            </w:tcMar>
            <w:vAlign w:val="bottom"/>
          </w:tcPr>
          <w:p w:rsidR="009F06CA" w:rsidRDefault="00D0425F">
            <w:pPr>
              <w:widowControl w:val="0"/>
              <w:spacing w:after="0" w:line="276" w:lineRule="auto"/>
            </w:pPr>
            <w:r>
              <w:t>peakload volume required</w:t>
            </w:r>
          </w:p>
        </w:tc>
      </w:tr>
      <w:tr w:rsidR="009F06CA">
        <w:trPr>
          <w:trHeight w:val="300"/>
        </w:trPr>
        <w:tc>
          <w:tcPr>
            <w:tcW w:w="2670" w:type="dxa"/>
            <w:tcBorders>
              <w:top w:val="nil"/>
              <w:left w:val="single" w:sz="6" w:space="0" w:color="000000"/>
              <w:bottom w:val="nil"/>
              <w:right w:val="single" w:sz="6" w:space="0" w:color="000000"/>
            </w:tcBorders>
            <w:tcMar>
              <w:top w:w="0" w:type="dxa"/>
              <w:left w:w="40" w:type="dxa"/>
              <w:bottom w:w="0" w:type="dxa"/>
              <w:right w:w="40" w:type="dxa"/>
            </w:tcMar>
            <w:vAlign w:val="bottom"/>
          </w:tcPr>
          <w:p w:rsidR="009F06CA" w:rsidRDefault="00D0425F">
            <w:pPr>
              <w:widowControl w:val="0"/>
              <w:spacing w:after="0" w:line="276" w:lineRule="auto"/>
            </w:pPr>
            <w:r>
              <w:t>Basket volume done</w:t>
            </w:r>
          </w:p>
        </w:tc>
        <w:tc>
          <w:tcPr>
            <w:tcW w:w="2565" w:type="dxa"/>
            <w:tcBorders>
              <w:top w:val="nil"/>
              <w:left w:val="nil"/>
              <w:bottom w:val="nil"/>
              <w:right w:val="nil"/>
            </w:tcBorders>
            <w:tcMar>
              <w:top w:w="0" w:type="dxa"/>
              <w:left w:w="40" w:type="dxa"/>
              <w:bottom w:w="0" w:type="dxa"/>
              <w:right w:w="40" w:type="dxa"/>
            </w:tcMar>
            <w:vAlign w:val="bottom"/>
          </w:tcPr>
          <w:p w:rsidR="009F06CA" w:rsidRDefault="00D0425F">
            <w:pPr>
              <w:widowControl w:val="0"/>
              <w:spacing w:after="0" w:line="276" w:lineRule="auto"/>
            </w:pPr>
            <w:r>
              <w:t>Baseload volume done</w:t>
            </w:r>
          </w:p>
        </w:tc>
        <w:tc>
          <w:tcPr>
            <w:tcW w:w="225" w:type="dxa"/>
            <w:tcBorders>
              <w:top w:val="nil"/>
              <w:left w:val="nil"/>
              <w:bottom w:val="nil"/>
              <w:right w:val="nil"/>
            </w:tcBorders>
            <w:tcMar>
              <w:top w:w="0" w:type="dxa"/>
              <w:left w:w="40" w:type="dxa"/>
              <w:bottom w:w="0" w:type="dxa"/>
              <w:right w:w="40" w:type="dxa"/>
            </w:tcMar>
            <w:vAlign w:val="bottom"/>
          </w:tcPr>
          <w:p w:rsidR="009F06CA" w:rsidRDefault="00D0425F">
            <w:pPr>
              <w:widowControl w:val="0"/>
              <w:spacing w:after="0" w:line="276" w:lineRule="auto"/>
            </w:pPr>
            <w:r>
              <w:t>+</w:t>
            </w:r>
          </w:p>
        </w:tc>
        <w:tc>
          <w:tcPr>
            <w:tcW w:w="2655" w:type="dxa"/>
            <w:tcBorders>
              <w:top w:val="nil"/>
              <w:left w:val="nil"/>
              <w:bottom w:val="nil"/>
              <w:right w:val="single" w:sz="6" w:space="0" w:color="000000"/>
            </w:tcBorders>
            <w:tcMar>
              <w:top w:w="0" w:type="dxa"/>
              <w:left w:w="40" w:type="dxa"/>
              <w:bottom w:w="0" w:type="dxa"/>
              <w:right w:w="40" w:type="dxa"/>
            </w:tcMar>
            <w:vAlign w:val="bottom"/>
          </w:tcPr>
          <w:p w:rsidR="009F06CA" w:rsidRDefault="00D0425F">
            <w:pPr>
              <w:widowControl w:val="0"/>
              <w:spacing w:after="0" w:line="276" w:lineRule="auto"/>
            </w:pPr>
            <w:r>
              <w:t>peakload volume done</w:t>
            </w:r>
          </w:p>
        </w:tc>
      </w:tr>
      <w:tr w:rsidR="009F06CA">
        <w:trPr>
          <w:trHeight w:val="300"/>
        </w:trPr>
        <w:tc>
          <w:tcPr>
            <w:tcW w:w="2670" w:type="dxa"/>
            <w:tcBorders>
              <w:top w:val="nil"/>
              <w:left w:val="single" w:sz="6" w:space="0" w:color="000000"/>
              <w:bottom w:val="nil"/>
              <w:right w:val="single" w:sz="6" w:space="0" w:color="000000"/>
            </w:tcBorders>
            <w:tcMar>
              <w:top w:w="0" w:type="dxa"/>
              <w:left w:w="40" w:type="dxa"/>
              <w:bottom w:w="0" w:type="dxa"/>
              <w:right w:w="40" w:type="dxa"/>
            </w:tcMar>
            <w:vAlign w:val="bottom"/>
          </w:tcPr>
          <w:p w:rsidR="009F06CA" w:rsidRDefault="00D0425F">
            <w:pPr>
              <w:widowControl w:val="0"/>
              <w:spacing w:after="0" w:line="276" w:lineRule="auto"/>
            </w:pPr>
            <w:r>
              <w:t>Basket value done</w:t>
            </w:r>
          </w:p>
        </w:tc>
        <w:tc>
          <w:tcPr>
            <w:tcW w:w="2565" w:type="dxa"/>
            <w:tcBorders>
              <w:top w:val="nil"/>
              <w:left w:val="nil"/>
              <w:bottom w:val="nil"/>
              <w:right w:val="nil"/>
            </w:tcBorders>
            <w:tcMar>
              <w:top w:w="0" w:type="dxa"/>
              <w:left w:w="40" w:type="dxa"/>
              <w:bottom w:w="0" w:type="dxa"/>
              <w:right w:w="40" w:type="dxa"/>
            </w:tcMar>
            <w:vAlign w:val="bottom"/>
          </w:tcPr>
          <w:p w:rsidR="009F06CA" w:rsidRDefault="00D0425F">
            <w:pPr>
              <w:widowControl w:val="0"/>
              <w:spacing w:after="0" w:line="276" w:lineRule="auto"/>
            </w:pPr>
            <w:r>
              <w:t>Baseload value done</w:t>
            </w:r>
          </w:p>
        </w:tc>
        <w:tc>
          <w:tcPr>
            <w:tcW w:w="225" w:type="dxa"/>
            <w:tcBorders>
              <w:top w:val="nil"/>
              <w:left w:val="nil"/>
              <w:bottom w:val="nil"/>
              <w:right w:val="nil"/>
            </w:tcBorders>
            <w:tcMar>
              <w:top w:w="0" w:type="dxa"/>
              <w:left w:w="40" w:type="dxa"/>
              <w:bottom w:w="0" w:type="dxa"/>
              <w:right w:w="40" w:type="dxa"/>
            </w:tcMar>
            <w:vAlign w:val="bottom"/>
          </w:tcPr>
          <w:p w:rsidR="009F06CA" w:rsidRDefault="00D0425F">
            <w:pPr>
              <w:widowControl w:val="0"/>
              <w:spacing w:after="0" w:line="276" w:lineRule="auto"/>
            </w:pPr>
            <w:r>
              <w:t>+</w:t>
            </w:r>
          </w:p>
        </w:tc>
        <w:tc>
          <w:tcPr>
            <w:tcW w:w="2655" w:type="dxa"/>
            <w:tcBorders>
              <w:top w:val="nil"/>
              <w:left w:val="nil"/>
              <w:bottom w:val="nil"/>
              <w:right w:val="single" w:sz="6" w:space="0" w:color="000000"/>
            </w:tcBorders>
            <w:tcMar>
              <w:top w:w="0" w:type="dxa"/>
              <w:left w:w="40" w:type="dxa"/>
              <w:bottom w:w="0" w:type="dxa"/>
              <w:right w:w="40" w:type="dxa"/>
            </w:tcMar>
            <w:vAlign w:val="bottom"/>
          </w:tcPr>
          <w:p w:rsidR="009F06CA" w:rsidRDefault="00D0425F">
            <w:pPr>
              <w:widowControl w:val="0"/>
              <w:spacing w:after="0" w:line="276" w:lineRule="auto"/>
            </w:pPr>
            <w:r>
              <w:t>peakload value done</w:t>
            </w:r>
          </w:p>
        </w:tc>
      </w:tr>
      <w:tr w:rsidR="009F06CA">
        <w:trPr>
          <w:trHeight w:val="300"/>
        </w:trPr>
        <w:tc>
          <w:tcPr>
            <w:tcW w:w="2670" w:type="dxa"/>
            <w:tcBorders>
              <w:top w:val="nil"/>
              <w:left w:val="single" w:sz="6" w:space="0" w:color="000000"/>
              <w:bottom w:val="nil"/>
              <w:right w:val="single" w:sz="6" w:space="0" w:color="000000"/>
            </w:tcBorders>
            <w:tcMar>
              <w:top w:w="0" w:type="dxa"/>
              <w:left w:w="40" w:type="dxa"/>
              <w:bottom w:w="0" w:type="dxa"/>
              <w:right w:w="40" w:type="dxa"/>
            </w:tcMar>
            <w:vAlign w:val="bottom"/>
          </w:tcPr>
          <w:p w:rsidR="009F06CA" w:rsidRDefault="00D0425F">
            <w:pPr>
              <w:widowControl w:val="0"/>
              <w:spacing w:after="0" w:line="276" w:lineRule="auto"/>
            </w:pPr>
            <w:r>
              <w:t>Basket volume outstanding</w:t>
            </w:r>
          </w:p>
        </w:tc>
        <w:tc>
          <w:tcPr>
            <w:tcW w:w="2565" w:type="dxa"/>
            <w:tcBorders>
              <w:top w:val="nil"/>
              <w:left w:val="nil"/>
              <w:bottom w:val="nil"/>
              <w:right w:val="nil"/>
            </w:tcBorders>
            <w:tcMar>
              <w:top w:w="0" w:type="dxa"/>
              <w:left w:w="40" w:type="dxa"/>
              <w:bottom w:w="0" w:type="dxa"/>
              <w:right w:w="40" w:type="dxa"/>
            </w:tcMar>
            <w:vAlign w:val="bottom"/>
          </w:tcPr>
          <w:p w:rsidR="009F06CA" w:rsidRDefault="00D0425F">
            <w:pPr>
              <w:widowControl w:val="0"/>
              <w:spacing w:after="0" w:line="276" w:lineRule="auto"/>
            </w:pPr>
            <w:r>
              <w:t>Baseload value outstanding</w:t>
            </w:r>
          </w:p>
        </w:tc>
        <w:tc>
          <w:tcPr>
            <w:tcW w:w="225" w:type="dxa"/>
            <w:tcBorders>
              <w:top w:val="nil"/>
              <w:left w:val="nil"/>
              <w:bottom w:val="nil"/>
              <w:right w:val="nil"/>
            </w:tcBorders>
            <w:tcMar>
              <w:top w:w="0" w:type="dxa"/>
              <w:left w:w="40" w:type="dxa"/>
              <w:bottom w:w="0" w:type="dxa"/>
              <w:right w:w="40" w:type="dxa"/>
            </w:tcMar>
            <w:vAlign w:val="bottom"/>
          </w:tcPr>
          <w:p w:rsidR="009F06CA" w:rsidRDefault="00D0425F">
            <w:pPr>
              <w:widowControl w:val="0"/>
              <w:spacing w:after="0" w:line="276" w:lineRule="auto"/>
            </w:pPr>
            <w:r>
              <w:t>+</w:t>
            </w:r>
          </w:p>
        </w:tc>
        <w:tc>
          <w:tcPr>
            <w:tcW w:w="2655" w:type="dxa"/>
            <w:tcBorders>
              <w:top w:val="nil"/>
              <w:left w:val="nil"/>
              <w:bottom w:val="nil"/>
              <w:right w:val="single" w:sz="6" w:space="0" w:color="000000"/>
            </w:tcBorders>
            <w:tcMar>
              <w:top w:w="0" w:type="dxa"/>
              <w:left w:w="40" w:type="dxa"/>
              <w:bottom w:w="0" w:type="dxa"/>
              <w:right w:w="40" w:type="dxa"/>
            </w:tcMar>
            <w:vAlign w:val="bottom"/>
          </w:tcPr>
          <w:p w:rsidR="009F06CA" w:rsidRDefault="00D0425F">
            <w:pPr>
              <w:widowControl w:val="0"/>
              <w:spacing w:after="0" w:line="276" w:lineRule="auto"/>
            </w:pPr>
            <w:r>
              <w:t>peakload value outstanding</w:t>
            </w:r>
          </w:p>
        </w:tc>
      </w:tr>
      <w:tr w:rsidR="009F06CA">
        <w:trPr>
          <w:trHeight w:val="300"/>
        </w:trPr>
        <w:tc>
          <w:tcPr>
            <w:tcW w:w="2670" w:type="dxa"/>
            <w:tcBorders>
              <w:top w:val="nil"/>
              <w:left w:val="single" w:sz="6" w:space="0" w:color="000000"/>
              <w:bottom w:val="single" w:sz="6" w:space="0" w:color="000000"/>
              <w:right w:val="single" w:sz="6" w:space="0" w:color="000000"/>
            </w:tcBorders>
            <w:tcMar>
              <w:top w:w="0" w:type="dxa"/>
              <w:left w:w="40" w:type="dxa"/>
              <w:bottom w:w="0" w:type="dxa"/>
              <w:right w:w="40" w:type="dxa"/>
            </w:tcMar>
            <w:vAlign w:val="bottom"/>
          </w:tcPr>
          <w:p w:rsidR="009F06CA" w:rsidRDefault="00D0425F">
            <w:pPr>
              <w:widowControl w:val="0"/>
              <w:spacing w:after="0" w:line="276" w:lineRule="auto"/>
            </w:pPr>
            <w:r>
              <w:t>Basket value outstanding</w:t>
            </w:r>
          </w:p>
        </w:tc>
        <w:tc>
          <w:tcPr>
            <w:tcW w:w="2565" w:type="dxa"/>
            <w:tcBorders>
              <w:top w:val="nil"/>
              <w:left w:val="nil"/>
              <w:bottom w:val="single" w:sz="6" w:space="0" w:color="000000"/>
              <w:right w:val="nil"/>
            </w:tcBorders>
            <w:tcMar>
              <w:top w:w="0" w:type="dxa"/>
              <w:left w:w="40" w:type="dxa"/>
              <w:bottom w:w="0" w:type="dxa"/>
              <w:right w:w="40" w:type="dxa"/>
            </w:tcMar>
            <w:vAlign w:val="bottom"/>
          </w:tcPr>
          <w:p w:rsidR="009F06CA" w:rsidRDefault="00D0425F">
            <w:pPr>
              <w:widowControl w:val="0"/>
              <w:spacing w:after="0" w:line="276" w:lineRule="auto"/>
            </w:pPr>
            <w:r>
              <w:t>Baseload value outstanding</w:t>
            </w:r>
          </w:p>
        </w:tc>
        <w:tc>
          <w:tcPr>
            <w:tcW w:w="225" w:type="dxa"/>
            <w:tcBorders>
              <w:top w:val="nil"/>
              <w:left w:val="nil"/>
              <w:bottom w:val="single" w:sz="6" w:space="0" w:color="000000"/>
              <w:right w:val="nil"/>
            </w:tcBorders>
            <w:tcMar>
              <w:top w:w="0" w:type="dxa"/>
              <w:left w:w="40" w:type="dxa"/>
              <w:bottom w:w="0" w:type="dxa"/>
              <w:right w:w="40" w:type="dxa"/>
            </w:tcMar>
            <w:vAlign w:val="bottom"/>
          </w:tcPr>
          <w:p w:rsidR="009F06CA" w:rsidRDefault="00D0425F">
            <w:pPr>
              <w:widowControl w:val="0"/>
              <w:spacing w:after="0" w:line="276" w:lineRule="auto"/>
            </w:pPr>
            <w:r>
              <w:t>+</w:t>
            </w:r>
          </w:p>
        </w:tc>
        <w:tc>
          <w:tcPr>
            <w:tcW w:w="2655" w:type="dxa"/>
            <w:tcBorders>
              <w:top w:val="nil"/>
              <w:left w:val="nil"/>
              <w:bottom w:val="single" w:sz="6" w:space="0" w:color="000000"/>
              <w:right w:val="single" w:sz="6" w:space="0" w:color="000000"/>
            </w:tcBorders>
            <w:tcMar>
              <w:top w:w="0" w:type="dxa"/>
              <w:left w:w="40" w:type="dxa"/>
              <w:bottom w:w="0" w:type="dxa"/>
              <w:right w:w="40" w:type="dxa"/>
            </w:tcMar>
            <w:vAlign w:val="bottom"/>
          </w:tcPr>
          <w:p w:rsidR="009F06CA" w:rsidRDefault="00D0425F">
            <w:pPr>
              <w:widowControl w:val="0"/>
              <w:spacing w:after="0" w:line="276" w:lineRule="auto"/>
            </w:pPr>
            <w:r>
              <w:t>peakload value outstanding</w:t>
            </w:r>
          </w:p>
        </w:tc>
      </w:tr>
    </w:tbl>
    <w:p w:rsidR="009F06CA" w:rsidRDefault="009F06CA"/>
    <w:p w:rsidR="009F06CA" w:rsidRDefault="00D0425F">
      <w:r>
        <w:t>Residual positions are not used for risk reporting.</w:t>
      </w:r>
    </w:p>
    <w:p w:rsidR="009F06CA" w:rsidRDefault="00D0425F">
      <w:pPr>
        <w:pStyle w:val="Heading1"/>
      </w:pPr>
      <w:bookmarkStart w:id="23" w:name="_x95wfhc8b4uc" w:colFirst="0" w:colLast="0"/>
      <w:bookmarkEnd w:id="23"/>
      <w:r>
        <w:lastRenderedPageBreak/>
        <w:t>Risk metrics and report creation</w:t>
      </w:r>
    </w:p>
    <w:p w:rsidR="009F06CA" w:rsidRDefault="00D0425F">
      <w:r>
        <w:t>The model uses the monthly position data and the volatilities for each contract to calculate a number of additional data points. The most important of these are the Cost-at-Risk (CaR) risk metric, and the stop loss utilisations, which measure a basket’s pr</w:t>
      </w:r>
      <w:r>
        <w:t>oximity to its risk control price cap. Cost-at-Risk is a variant of Value-at-Risk (VaR) and may be subject to change.</w:t>
      </w:r>
    </w:p>
    <w:p w:rsidR="009F06CA" w:rsidRDefault="00D0425F">
      <w:r>
        <w:t>The model formats the data on a number of different output sheets. A high level summary shows an overview of all the baskets side by side,</w:t>
      </w:r>
      <w:r>
        <w:t xml:space="preserve"> while individual sheets for each basket are generated to allow a more detailed view, including the basket’s progression over time.</w:t>
      </w:r>
    </w:p>
    <w:p w:rsidR="009F06CA" w:rsidRDefault="00D0425F">
      <w:r>
        <w:t>Three output files are generated. Two are detailed reports for gas and power, containing the commodity-level summary and ind</w:t>
      </w:r>
      <w:r>
        <w:t>ividual basket views. The third is a simple ‘executive summary’ report which includes basic high level data for all baskets on a single page.</w:t>
      </w:r>
    </w:p>
    <w:p w:rsidR="009F06CA" w:rsidRDefault="00D0425F">
      <w:r>
        <w:t>The risk analyst attaches these output files to an e-mail, and distributes it to the entire team, plus any other s</w:t>
      </w:r>
      <w:r>
        <w:t>takeholders as required. Once a week, they also re-run the model with different baskets selected to generate risk reports for the external organisation on whose behalf CCS carry out trading services.</w:t>
      </w:r>
    </w:p>
    <w:p w:rsidR="009F06CA" w:rsidRDefault="00D0425F">
      <w:r>
        <w:t>For more detail on the contents of the risk reports, ple</w:t>
      </w:r>
      <w:r>
        <w:t>ase refer to the example gas, power and executive summary files in Attachment 10 with this document.</w:t>
      </w:r>
    </w:p>
    <w:p w:rsidR="009F06CA" w:rsidRDefault="00D0425F">
      <w:pPr>
        <w:jc w:val="center"/>
        <w:rPr>
          <w:i/>
          <w:sz w:val="18"/>
          <w:szCs w:val="18"/>
        </w:rPr>
      </w:pPr>
      <w:r>
        <w:rPr>
          <w:noProof/>
        </w:rPr>
        <w:drawing>
          <wp:inline distT="114300" distB="114300" distL="114300" distR="114300">
            <wp:extent cx="5734050" cy="2527300"/>
            <wp:effectExtent l="0" t="0" r="0" b="0"/>
            <wp:docPr id="3"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5734050" cy="2527300"/>
                    </a:xfrm>
                    <a:prstGeom prst="rect">
                      <a:avLst/>
                    </a:prstGeom>
                    <a:ln/>
                  </pic:spPr>
                </pic:pic>
              </a:graphicData>
            </a:graphic>
          </wp:inline>
        </w:drawing>
      </w:r>
      <w:r>
        <w:rPr>
          <w:i/>
          <w:sz w:val="18"/>
          <w:szCs w:val="18"/>
        </w:rPr>
        <w:t>Screenshot of an example executive summary report, showing basic position information for all gas and power baskets, populated with dummy data.</w:t>
      </w:r>
    </w:p>
    <w:p w:rsidR="009F06CA" w:rsidRDefault="00D0425F">
      <w:r>
        <w:t>The winnin</w:t>
      </w:r>
      <w:r>
        <w:t>g supplier will be required to automate the generation of the risk reports. This may be achieved directly via the system or in the reporting layer (e.g. SRSS or Power BI). CCS will work with the winning supplier on the optimal solution for this. Some addit</w:t>
      </w:r>
      <w:r>
        <w:t xml:space="preserve">ional data points will need to be stored to facilitate the required calculations. For example, an updatable table containing basket names and the baskets stop loss price cap may be required.  </w:t>
      </w:r>
    </w:p>
    <w:p w:rsidR="009F06CA" w:rsidRDefault="00D0425F">
      <w:r>
        <w:t>The complete formulas used to calculate volatilities and CaR by</w:t>
      </w:r>
      <w:r>
        <w:t xml:space="preserve"> CCS can be found in Appendix 3.</w:t>
      </w:r>
    </w:p>
    <w:p w:rsidR="009F06CA" w:rsidRDefault="00D0425F">
      <w:r>
        <w:t>Rather than present the risk reports as Excel files attached to an e-mail, the reports would be accessed via Power BI or a similar reporting engine. As such, an ‘as of’ date snapshot will need to be recorded to allow CCS to</w:t>
      </w:r>
      <w:r>
        <w:t xml:space="preserve"> view positions on a given day. Once the morning update is complete, the system will send an alert to the entire team notifying them that the updated reports are available, ideally highlighting if a limit has been breached.</w:t>
      </w:r>
    </w:p>
    <w:p w:rsidR="009F06CA" w:rsidRDefault="00D0425F">
      <w:r>
        <w:lastRenderedPageBreak/>
        <w:t>Both Trading and Risk teams will</w:t>
      </w:r>
      <w:r>
        <w:t xml:space="preserve"> require routine access to the underlying data in Excel format; this would be accessed either via logging into the ETS and extracting data, or by using a worksheet with an embedded query. There will remain a need for Excel based analysis, including use of </w:t>
      </w:r>
      <w:r>
        <w:t>macros to manipulate data, so a means for Excel to automatically extract data from the ETS (such as a query initiated from a VBA macro) will be necessary.</w:t>
      </w:r>
    </w:p>
    <w:p w:rsidR="009F06CA" w:rsidRDefault="00D0425F">
      <w:r>
        <w:t>The system will still need to support the Excel-based process described above as a fallback in the event that there are issues with the system, to ensure smooth go-live and to enable ad-hoc analysis.</w:t>
      </w:r>
    </w:p>
    <w:p w:rsidR="009F06CA" w:rsidRDefault="00D0425F">
      <w:pPr>
        <w:pStyle w:val="Heading1"/>
      </w:pPr>
      <w:bookmarkStart w:id="24" w:name="_26in1rg" w:colFirst="0" w:colLast="0"/>
      <w:bookmarkEnd w:id="24"/>
      <w:r>
        <w:t>Compliance checks</w:t>
      </w:r>
    </w:p>
    <w:p w:rsidR="009F06CA" w:rsidRDefault="00D0425F">
      <w:r>
        <w:t>To complete the daily process, the ris</w:t>
      </w:r>
      <w:r>
        <w:t>k analyst will run a number of checks. These include checking that all baskets are safely within their risk limits, that the minimum volumes required have been purchased for each basket, and that the traders have not exceeded their maximum daily trading li</w:t>
      </w:r>
      <w:r>
        <w:t>mits or optimisation limits. In the event that any of these checks show limits have been breached, the risk analyst will record the issue and instigate a process to respond.</w:t>
      </w:r>
    </w:p>
    <w:p w:rsidR="009F06CA" w:rsidRDefault="00D0425F">
      <w:r>
        <w:t xml:space="preserve">In the future, CCS will want the new ETS vendor to automatically check compliance </w:t>
      </w:r>
      <w:r>
        <w:t>against all limits when generating the risk reports. These checks may utilise functionality built in the system or via bespoke reports in output reports. In the event that any limits are found to have been breached, these should be easily identified (for e</w:t>
      </w:r>
      <w:r>
        <w:t>xample, highlighted in red in the Power BI output report or via an alert.) Once reporting is integrated into the ETS, alerts will be sent to specified users when breaches are detected.</w:t>
      </w:r>
    </w:p>
    <w:p w:rsidR="009F06CA" w:rsidRDefault="00D0425F">
      <w:pPr>
        <w:pStyle w:val="Heading1"/>
      </w:pPr>
      <w:bookmarkStart w:id="25" w:name="_lnxbz9" w:colFirst="0" w:colLast="0"/>
      <w:bookmarkEnd w:id="25"/>
      <w:r>
        <w:t>Risk reports and trading</w:t>
      </w:r>
    </w:p>
    <w:p w:rsidR="009F06CA" w:rsidRDefault="00D0425F">
      <w:r>
        <w:t>One of the first tasks of the day for the trad</w:t>
      </w:r>
      <w:r>
        <w:t>ers will be to read the risk reports. This will give them an up to date picture of their baskets. Any baskets that are approaching limits will be obvious in the reports, and they will normally have been notified by the risk team as well. Addressing any iss</w:t>
      </w:r>
      <w:r>
        <w:t xml:space="preserve">ues with these baskets to ensure they do not breach their limits will be their first priority. </w:t>
      </w:r>
    </w:p>
    <w:p w:rsidR="009F06CA" w:rsidRDefault="00D0425F">
      <w:r>
        <w:t>First, they will consult the summary page to get a high level view of the baskets. If any baskets are showing issues, they will move to the detailed position re</w:t>
      </w:r>
      <w:r>
        <w:t>port for that basket. Here, they can see at a monthly granularity the volume demands, purchases, achieved prices and market prices, and assess what is driving any issues. Using this information, they will decide what (if any) trading actions need to be tak</w:t>
      </w:r>
      <w:r>
        <w:t>en to protect the basket.</w:t>
      </w:r>
    </w:p>
    <w:p w:rsidR="009F06CA" w:rsidRDefault="00D0425F">
      <w:pPr>
        <w:jc w:val="center"/>
        <w:rPr>
          <w:i/>
          <w:sz w:val="18"/>
          <w:szCs w:val="18"/>
        </w:rPr>
      </w:pPr>
      <w:r>
        <w:rPr>
          <w:noProof/>
        </w:rPr>
        <w:drawing>
          <wp:inline distT="114300" distB="114300" distL="114300" distR="114300">
            <wp:extent cx="5734050" cy="18923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5734050" cy="1892300"/>
                    </a:xfrm>
                    <a:prstGeom prst="rect">
                      <a:avLst/>
                    </a:prstGeom>
                    <a:ln/>
                  </pic:spPr>
                </pic:pic>
              </a:graphicData>
            </a:graphic>
          </wp:inline>
        </w:drawing>
      </w:r>
      <w:r>
        <w:rPr>
          <w:i/>
          <w:sz w:val="18"/>
          <w:szCs w:val="18"/>
        </w:rPr>
        <w:t>Screenshot of example gas basket summary report using dummy data.</w:t>
      </w:r>
    </w:p>
    <w:p w:rsidR="009F06CA" w:rsidRDefault="00D0425F">
      <w:pPr>
        <w:pStyle w:val="Heading1"/>
      </w:pPr>
      <w:bookmarkStart w:id="26" w:name="_35nkun2" w:colFirst="0" w:colLast="0"/>
      <w:bookmarkEnd w:id="26"/>
      <w:r>
        <w:t>Trading reports</w:t>
      </w:r>
    </w:p>
    <w:p w:rsidR="009F06CA" w:rsidRDefault="00D0425F">
      <w:r>
        <w:t xml:space="preserve">Once any priority issues have been dealt with, the trader will plan the trades they might want to place that day. To do this they will consult one </w:t>
      </w:r>
      <w:r>
        <w:t xml:space="preserve">of several position reports that are generated based </w:t>
      </w:r>
      <w:r>
        <w:lastRenderedPageBreak/>
        <w:t>on the information in the ETS. These are currently presented as SSRS (SQL Server Reporting Services) reports accessed via their web browser.</w:t>
      </w:r>
    </w:p>
    <w:p w:rsidR="009F06CA" w:rsidRDefault="00D0425F">
      <w:pPr>
        <w:jc w:val="center"/>
        <w:rPr>
          <w:i/>
          <w:sz w:val="18"/>
          <w:szCs w:val="18"/>
        </w:rPr>
      </w:pPr>
      <w:r>
        <w:rPr>
          <w:noProof/>
        </w:rPr>
        <w:drawing>
          <wp:inline distT="114300" distB="114300" distL="114300" distR="114300">
            <wp:extent cx="5734050" cy="394970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5734050" cy="3949700"/>
                    </a:xfrm>
                    <a:prstGeom prst="rect">
                      <a:avLst/>
                    </a:prstGeom>
                    <a:ln/>
                  </pic:spPr>
                </pic:pic>
              </a:graphicData>
            </a:graphic>
          </wp:inline>
        </w:drawing>
      </w:r>
      <w:r>
        <w:rPr>
          <w:i/>
          <w:sz w:val="18"/>
          <w:szCs w:val="18"/>
        </w:rPr>
        <w:t>Example SRSS position report for a power basket (note separat</w:t>
      </w:r>
      <w:r>
        <w:rPr>
          <w:i/>
          <w:sz w:val="18"/>
          <w:szCs w:val="18"/>
        </w:rPr>
        <w:t>e tables for base and peak), populated with dummy data.</w:t>
      </w:r>
    </w:p>
    <w:p w:rsidR="009F06CA" w:rsidRDefault="00D0425F">
      <w:r>
        <w:t>The reports available include full position reports for gas and power as included in the risk reports. They also include additional information not used for risk reporting: weather corrected demand an</w:t>
      </w:r>
      <w:r>
        <w:t>d actualisation reports for gas, and optimisation reports for both gas and power.</w:t>
      </w:r>
    </w:p>
    <w:p w:rsidR="009F06CA" w:rsidRDefault="00D0425F">
      <w:pPr>
        <w:jc w:val="center"/>
      </w:pPr>
      <w:r>
        <w:rPr>
          <w:noProof/>
        </w:rPr>
        <w:drawing>
          <wp:inline distT="114300" distB="114300" distL="114300" distR="114300">
            <wp:extent cx="5734050" cy="3581400"/>
            <wp:effectExtent l="0" t="0" r="0" b="0"/>
            <wp:docPr id="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1"/>
                    <a:srcRect/>
                    <a:stretch>
                      <a:fillRect/>
                    </a:stretch>
                  </pic:blipFill>
                  <pic:spPr>
                    <a:xfrm>
                      <a:off x="0" y="0"/>
                      <a:ext cx="5734050" cy="3581400"/>
                    </a:xfrm>
                    <a:prstGeom prst="rect">
                      <a:avLst/>
                    </a:prstGeom>
                    <a:ln/>
                  </pic:spPr>
                </pic:pic>
              </a:graphicData>
            </a:graphic>
          </wp:inline>
        </w:drawing>
      </w:r>
      <w:r>
        <w:rPr>
          <w:i/>
          <w:sz w:val="18"/>
          <w:szCs w:val="18"/>
        </w:rPr>
        <w:t>Example of a detailed individual basket view in the risk reports, populated with dummy data.</w:t>
      </w:r>
    </w:p>
    <w:p w:rsidR="009F06CA" w:rsidRDefault="00D0425F">
      <w:r>
        <w:lastRenderedPageBreak/>
        <w:t>The trader will be looking at the information in all these reports to decide wha</w:t>
      </w:r>
      <w:r>
        <w:t>t their priorities are, and assessing the market prices they are seeing on screen to see where there are opportunities. Often a traders plan will involve monitoring the price of a particular contract that looks promising throughout the day, with the intent</w:t>
      </w:r>
      <w:r>
        <w:t>ion of buying volume for that contract if it reaches a particular price.</w:t>
      </w:r>
    </w:p>
    <w:p w:rsidR="009F06CA" w:rsidRDefault="00D0425F">
      <w:pPr>
        <w:pStyle w:val="Heading1"/>
      </w:pPr>
      <w:bookmarkStart w:id="27" w:name="_1ksv4uv" w:colFirst="0" w:colLast="0"/>
      <w:bookmarkEnd w:id="27"/>
      <w:r>
        <w:t>Trade entry</w:t>
      </w:r>
    </w:p>
    <w:p w:rsidR="009F06CA" w:rsidRDefault="00D0425F">
      <w:r>
        <w:t>When the trader decides to place a trade, they will call the relevant supplier’s optimisation desk and place the order, specifying the contract they wish to buy, the price and the volume. If the order is filled, the optimisation desk will inform the trader</w:t>
      </w:r>
      <w:r>
        <w:t>s either by phone or via email.</w:t>
      </w:r>
    </w:p>
    <w:p w:rsidR="009F06CA" w:rsidRDefault="00D0425F">
      <w:r>
        <w:t>Once the supplier has agreed to fill the order, the trader will log the trade on the ETS. When they enter a trade, they record all the details they have agreed with the supplier, including the contract, volume, price and bas</w:t>
      </w:r>
      <w:r>
        <w:t>ket the trade should be allocated to. They will also use the memo field in the system to record any additional information that needs to be captured (for example, if the trade is to be priced via indexation.)</w:t>
      </w:r>
    </w:p>
    <w:p w:rsidR="009F06CA" w:rsidRDefault="00D0425F">
      <w:r>
        <w:t>One of the most important fields the trader wil</w:t>
      </w:r>
      <w:r>
        <w:t>l enter is the counterparty reference. This is the unique ID assigned to each trade by the supplier, and having it recorded in a designated field on the system makes tracing trades by either CCS or the supplier’s reference.</w:t>
      </w:r>
    </w:p>
    <w:p w:rsidR="009F06CA" w:rsidRDefault="00D0425F">
      <w:r>
        <w:t>Currently, when entering a trade</w:t>
      </w:r>
      <w:r>
        <w:t>, the trader will select fields sequentially, with each narrowing the options available in following boxes. For example, by selecting the ‘CCS’ house, only CCS baskets are shown in the basket list. Once ‘gas’ or ‘power’ has been selected as a commodity, on</w:t>
      </w:r>
      <w:r>
        <w:t>ly the relevant baskets will be shown in the list. If a user has any restrictions on which baskets, commodities or contracts they can enter trades for, the system will automatically limit the options presented to them. Only baskets that have been set as ‘a</w:t>
      </w:r>
      <w:r>
        <w:t>ctive’ and ready to trade by the Risk team will be shown in the list.</w:t>
      </w:r>
    </w:p>
    <w:p w:rsidR="009F06CA" w:rsidRDefault="00D0425F">
      <w:r>
        <w:t>A full list of all the data fields used for trade entry, and the dependencies between them can be found in Attachment 10 with this document.</w:t>
      </w:r>
    </w:p>
    <w:p w:rsidR="009F06CA" w:rsidRDefault="00D0425F">
      <w:r>
        <w:t>When the trade is entered, the ETS records wh</w:t>
      </w:r>
      <w:r>
        <w:t>ich user has entered the trade, and allocates it a unique reference number. The ETS will allow a trader to enter a trade on behalf of another, by selecting another registered user on the system from a drop down box. This allows the traders to cover for eac</w:t>
      </w:r>
      <w:r>
        <w:t>h other during absences. However, whenever a trade is placed, the system records the user who placed the trade, regardless of which trader it is on behalf of. This can be viewed in the audit log at any time.</w:t>
      </w:r>
    </w:p>
    <w:p w:rsidR="009F06CA" w:rsidRDefault="00D0425F">
      <w:r>
        <w:t>Once a trade has been placed, the ETS will updat</w:t>
      </w:r>
      <w:r>
        <w:t>e the basket data for each period to which the trade applies. The volume purchased for each period will be increased (or decreased) to reflect the effect of the trade, and the price achieved for each period recalculated accordingly. The recalculation of th</w:t>
      </w:r>
      <w:r>
        <w:t>e positions will be shown in the system’s task list, to enable users to see that an action that will change the data is in progress, and it will be recorded in the audit log. When complete, the task list and log will be updated to reflect this.</w:t>
      </w:r>
    </w:p>
    <w:p w:rsidR="009F06CA" w:rsidRDefault="00D0425F">
      <w:r>
        <w:t>Once the re</w:t>
      </w:r>
      <w:r>
        <w:t>calculation is complete, the trader can view the position reports to see what impact their trade has had. If the trade was a buy, they should see the volume purchased for the corresponding period has increased, the volume remaining has decreased, and the p</w:t>
      </w:r>
      <w:r>
        <w:t>rice has increased or decreased depending on the price of the trade relative to the basket price.</w:t>
      </w:r>
    </w:p>
    <w:p w:rsidR="009F06CA" w:rsidRDefault="00D0425F">
      <w:pPr>
        <w:pStyle w:val="Heading1"/>
      </w:pPr>
      <w:bookmarkStart w:id="28" w:name="_44sinio" w:colFirst="0" w:colLast="0"/>
      <w:bookmarkEnd w:id="28"/>
      <w:r>
        <w:lastRenderedPageBreak/>
        <w:t>Trade types</w:t>
      </w:r>
    </w:p>
    <w:p w:rsidR="009F06CA" w:rsidRDefault="00D0425F">
      <w:r>
        <w:t>Most CCS trades are straightforward ‘buy’ orders, reflecting the progressive hedging strategy of the organisation. ‘Sell’ orders will occur in nor</w:t>
      </w:r>
      <w:r>
        <w:t xml:space="preserve">mal hedging to balance the positions to the required granularity. </w:t>
      </w:r>
    </w:p>
    <w:p w:rsidR="009F06CA" w:rsidRDefault="00D0425F">
      <w:r>
        <w:t>There are other trade types that the traders will place:</w:t>
      </w:r>
    </w:p>
    <w:p w:rsidR="009F06CA" w:rsidRDefault="00D0425F">
      <w:r>
        <w:rPr>
          <w:b/>
        </w:rPr>
        <w:t>Gas actualisation trades</w:t>
      </w:r>
      <w:r>
        <w:t xml:space="preserve"> are used to reflect the transactions completed by the supplier on CCS’s behalf to meet actual customer usag</w:t>
      </w:r>
      <w:r>
        <w:t xml:space="preserve">e to that purchased by CCS. These are entered after the end of the month, usually as a daily granularity shape trade. The actualisation trades can also be entered as standard  daily ‘buys’ and ‘sells’ in the ETS. Actualisation trades are not used for risk </w:t>
      </w:r>
      <w:r>
        <w:t>reporting purposes. To enable the easy identification of actualisation trades, an extra true/false field has been added to each trade record which records whether a trade is a gas actualisation trade or not. This is presented as a check box which appears i</w:t>
      </w:r>
      <w:r>
        <w:t>n the trade entry screen. CCS is able to include or exclude actualisation trades from a baskets traded gas position.</w:t>
      </w:r>
    </w:p>
    <w:p w:rsidR="009F06CA" w:rsidRDefault="00D0425F">
      <w:r>
        <w:rPr>
          <w:b/>
        </w:rPr>
        <w:t>‘Optimisation’</w:t>
      </w:r>
      <w:r>
        <w:t xml:space="preserve"> or </w:t>
      </w:r>
      <w:r>
        <w:rPr>
          <w:b/>
        </w:rPr>
        <w:t>‘optimisation trades’</w:t>
      </w:r>
      <w:r>
        <w:t xml:space="preserve"> is the name given by CCS to a trading facility available to traders to optimise positions across va</w:t>
      </w:r>
      <w:r>
        <w:t>rious books. These are standard OTC  ‘buys’ or ‘sells’ trades, but CCS risk policy places separate limits on this facility . As such, an additional true/false field has been added to each trade record which records whether it is an optimisation trade or no</w:t>
      </w:r>
      <w:r>
        <w:t>t. This is presented as a check box which appears in the trade entry screen. CCS is able to include or exclude these trades from a baskets traded position as required.</w:t>
      </w:r>
    </w:p>
    <w:p w:rsidR="009F06CA" w:rsidRDefault="00D0425F">
      <w:r>
        <w:t xml:space="preserve">Often, one optimisation </w:t>
      </w:r>
      <w:r>
        <w:t>trade will be linked to another. For example, if an optimisation is initiated by buying volume then it will generally be closed by selling the volume, or vice versa. Optimisations also often involve spread trades, where a buy and sell are placed concurrent</w:t>
      </w:r>
      <w:r>
        <w:t>ly. The ETS allows each trade record to be linked to others, and presents a link from one to the other. This allows rapid navigation between component trades of an optimisation, without requiring the user to search manually.</w:t>
      </w:r>
    </w:p>
    <w:p w:rsidR="009F06CA" w:rsidRDefault="00D0425F">
      <w:pPr>
        <w:pStyle w:val="Heading1"/>
      </w:pPr>
      <w:bookmarkStart w:id="29" w:name="_2jxsxqh" w:colFirst="0" w:colLast="0"/>
      <w:bookmarkEnd w:id="29"/>
      <w:r>
        <w:t>Bulk trade upload</w:t>
      </w:r>
    </w:p>
    <w:p w:rsidR="009F06CA" w:rsidRDefault="00D0425F">
      <w:r>
        <w:t>As well as ma</w:t>
      </w:r>
      <w:r>
        <w:t>nually entering trades at the time they are placed, the ETS also supports the bulk import of trades. To do this, the user populates an Excel template with the data for each trade (one line per trade) and uploads it into the system.</w:t>
      </w:r>
    </w:p>
    <w:p w:rsidR="009F06CA" w:rsidRDefault="00D0425F">
      <w:r>
        <w:t>When processing bulk tra</w:t>
      </w:r>
      <w:r>
        <w:t>de uploads, the ETS performs a comprehensive data validation. If the upload file does not conform to the expected format, then it will be rejected. If any of the data contained within it is not as expected, then the entire upload will be rejected.</w:t>
      </w:r>
    </w:p>
    <w:p w:rsidR="009F06CA" w:rsidRDefault="00D0425F">
      <w:r>
        <w:t xml:space="preserve">The ETS </w:t>
      </w:r>
      <w:r>
        <w:t>also checks each trade prior to entry to ensure it conforms to the expected destination parameters. For example, each trade must have a destination basket; any that do not will not be loaded. Each basket will have a defined commodity; if an upload file att</w:t>
      </w:r>
      <w:r>
        <w:t>empts to load (for example) a gas trade into a power basket, the system will reject this.</w:t>
      </w:r>
    </w:p>
    <w:p w:rsidR="009F06CA" w:rsidRDefault="00D0425F">
      <w:r>
        <w:t>The bulk upload of trades is recorded in the audit log. Users can access this to monitor completion of the task, and its success or failure. Where the data import fai</w:t>
      </w:r>
      <w:r>
        <w:t>ls, a detailed record is kept specifying what the issue was and whereabouts in the upload file it occurred.</w:t>
      </w:r>
    </w:p>
    <w:p w:rsidR="009F06CA" w:rsidRDefault="00D0425F">
      <w:r>
        <w:t>This methodology may be used for initial transfer of trades from the old to the new system.</w:t>
      </w:r>
    </w:p>
    <w:p w:rsidR="009F06CA" w:rsidRDefault="00D0425F">
      <w:pPr>
        <w:pStyle w:val="Heading1"/>
      </w:pPr>
      <w:bookmarkStart w:id="30" w:name="_z337ya" w:colFirst="0" w:colLast="0"/>
      <w:bookmarkEnd w:id="30"/>
      <w:r>
        <w:t>Trade repository</w:t>
      </w:r>
    </w:p>
    <w:p w:rsidR="009F06CA" w:rsidRDefault="00D0425F">
      <w:r>
        <w:t>The ETS keeps a record of every trade e</w:t>
      </w:r>
      <w:r>
        <w:t>ver entered by CCS. This includes trades entered directly into the current system, and trades imported from previous systems using a bulk upload facility.</w:t>
      </w:r>
    </w:p>
    <w:p w:rsidR="009F06CA" w:rsidRDefault="00D0425F">
      <w:r>
        <w:lastRenderedPageBreak/>
        <w:t xml:space="preserve">CCS also uses the ETS to record ‘what if’ trades used for benchmarking. These can be used to compare </w:t>
      </w:r>
      <w:r>
        <w:t>alternative trading strategies to what was actually executed. An Excel model is used to generate trades in the bulk upload format expected by the ETS, and these are then loaded into a number of ‘dummy’ benchmarking baskets set up in the system.</w:t>
      </w:r>
    </w:p>
    <w:p w:rsidR="009F06CA" w:rsidRDefault="00D0425F">
      <w:r>
        <w:t>Users can b</w:t>
      </w:r>
      <w:r>
        <w:t>rowse the entire repository of trades recorded in the ETS. A free text search can be used to look for specific reference numbers or text fields. Where a user wishes to narrow down the trades displayed, they can use comprehensive filters to reduce the list.</w:t>
      </w:r>
      <w:r>
        <w:t xml:space="preserve"> For example, the trade list can be filtered by:</w:t>
      </w:r>
    </w:p>
    <w:p w:rsidR="009F06CA" w:rsidRDefault="00D0425F">
      <w:pPr>
        <w:numPr>
          <w:ilvl w:val="0"/>
          <w:numId w:val="8"/>
        </w:numPr>
        <w:pBdr>
          <w:top w:val="nil"/>
          <w:left w:val="nil"/>
          <w:bottom w:val="nil"/>
          <w:right w:val="nil"/>
          <w:between w:val="nil"/>
        </w:pBdr>
        <w:spacing w:after="0"/>
      </w:pPr>
      <w:r>
        <w:rPr>
          <w:color w:val="000000"/>
        </w:rPr>
        <w:t>When the trade was entered</w:t>
      </w:r>
    </w:p>
    <w:p w:rsidR="009F06CA" w:rsidRDefault="00D0425F">
      <w:pPr>
        <w:numPr>
          <w:ilvl w:val="0"/>
          <w:numId w:val="8"/>
        </w:numPr>
        <w:pBdr>
          <w:top w:val="nil"/>
          <w:left w:val="nil"/>
          <w:bottom w:val="nil"/>
          <w:right w:val="nil"/>
          <w:between w:val="nil"/>
        </w:pBdr>
        <w:spacing w:after="0"/>
      </w:pPr>
      <w:r>
        <w:rPr>
          <w:color w:val="000000"/>
        </w:rPr>
        <w:t>When it was delivered</w:t>
      </w:r>
    </w:p>
    <w:p w:rsidR="009F06CA" w:rsidRDefault="00D0425F">
      <w:pPr>
        <w:numPr>
          <w:ilvl w:val="0"/>
          <w:numId w:val="8"/>
        </w:numPr>
        <w:pBdr>
          <w:top w:val="nil"/>
          <w:left w:val="nil"/>
          <w:bottom w:val="nil"/>
          <w:right w:val="nil"/>
          <w:between w:val="nil"/>
        </w:pBdr>
        <w:spacing w:after="0"/>
      </w:pPr>
      <w:r>
        <w:rPr>
          <w:color w:val="000000"/>
        </w:rPr>
        <w:t>The house, counterparty or basket</w:t>
      </w:r>
    </w:p>
    <w:p w:rsidR="009F06CA" w:rsidRDefault="00D0425F">
      <w:pPr>
        <w:numPr>
          <w:ilvl w:val="0"/>
          <w:numId w:val="8"/>
        </w:numPr>
        <w:pBdr>
          <w:top w:val="nil"/>
          <w:left w:val="nil"/>
          <w:bottom w:val="nil"/>
          <w:right w:val="nil"/>
          <w:between w:val="nil"/>
        </w:pBdr>
        <w:spacing w:after="0"/>
      </w:pPr>
      <w:r>
        <w:rPr>
          <w:color w:val="000000"/>
        </w:rPr>
        <w:t>The commodity</w:t>
      </w:r>
    </w:p>
    <w:p w:rsidR="009F06CA" w:rsidRDefault="00D0425F">
      <w:pPr>
        <w:numPr>
          <w:ilvl w:val="0"/>
          <w:numId w:val="8"/>
        </w:numPr>
        <w:pBdr>
          <w:top w:val="nil"/>
          <w:left w:val="nil"/>
          <w:bottom w:val="nil"/>
          <w:right w:val="nil"/>
          <w:between w:val="nil"/>
        </w:pBdr>
        <w:spacing w:after="0"/>
      </w:pPr>
      <w:r>
        <w:rPr>
          <w:color w:val="000000"/>
        </w:rPr>
        <w:t>The trader</w:t>
      </w:r>
    </w:p>
    <w:p w:rsidR="009F06CA" w:rsidRDefault="00D0425F">
      <w:pPr>
        <w:numPr>
          <w:ilvl w:val="0"/>
          <w:numId w:val="8"/>
        </w:numPr>
        <w:pBdr>
          <w:top w:val="nil"/>
          <w:left w:val="nil"/>
          <w:bottom w:val="nil"/>
          <w:right w:val="nil"/>
          <w:between w:val="nil"/>
        </w:pBdr>
      </w:pPr>
      <w:r>
        <w:rPr>
          <w:color w:val="000000"/>
        </w:rPr>
        <w:t>The status of the trade</w:t>
      </w:r>
    </w:p>
    <w:p w:rsidR="009F06CA" w:rsidRDefault="00D0425F">
      <w:pPr>
        <w:pStyle w:val="Heading1"/>
      </w:pPr>
      <w:bookmarkStart w:id="31" w:name="_3j2qqm3" w:colFirst="0" w:colLast="0"/>
      <w:bookmarkEnd w:id="31"/>
      <w:r>
        <w:t>Trade statuses</w:t>
      </w:r>
    </w:p>
    <w:p w:rsidR="009F06CA" w:rsidRDefault="00D0425F">
      <w:r>
        <w:t>Each trade recorded in the ETS is given a ‘status’. The system allows several different statuses to be set for each trade: ‘pending’, ‘verified’, and ‘confirmed’. CCS uses these statuses to enable trades to be checked soon after entry, in line with risk ma</w:t>
      </w:r>
      <w:r>
        <w:t>nagement policy.</w:t>
      </w:r>
    </w:p>
    <w:p w:rsidR="009F06CA" w:rsidRDefault="00D0425F">
      <w:r>
        <w:t>Live trades (as opposed to imported archive trades or benchmarking trades) are usually entered by the trader placing the trade, or a deputy acting on their behalf. It is the trader’s responsibility to record all the details they agreed wit</w:t>
      </w:r>
      <w:r>
        <w:t>h the supplier, and add memos with any additional information that may be needed.</w:t>
      </w:r>
    </w:p>
    <w:p w:rsidR="009F06CA" w:rsidRDefault="00D0425F">
      <w:r>
        <w:t>When the trader creates the trade on the ETS, it is initially assigned a status of ‘pending’.</w:t>
      </w:r>
    </w:p>
    <w:p w:rsidR="009F06CA" w:rsidRDefault="00D0425F">
      <w:r>
        <w:t>The next stage is for the trading analyst to check the information registered on</w:t>
      </w:r>
      <w:r>
        <w:t xml:space="preserve"> the system. To do this, they will examine the trade record, and compare it to the confirmation e-mail received from the supplier. If any details do not match, they will raise it with the trader to establish whether they have made a mistake entering the tr</w:t>
      </w:r>
      <w:r>
        <w:t>ade or if the supplier has sent incorrect details.</w:t>
      </w:r>
    </w:p>
    <w:p w:rsidR="009F06CA" w:rsidRDefault="00D0425F">
      <w:r>
        <w:t>Once the trading analyst is satisfied that the trade details are correct on the ETS, they will mark the trade as ‘verified’.</w:t>
      </w:r>
    </w:p>
    <w:p w:rsidR="009F06CA" w:rsidRDefault="00D0425F">
      <w:r>
        <w:t>The final stage is for the trade to be checked by a member of the risk team. The</w:t>
      </w:r>
      <w:r>
        <w:t>y will once again compare the details sent by the supplier to the record on the ETS. If any discrepancies are found then they will raise them with either the trader or the supplier as needed.</w:t>
      </w:r>
    </w:p>
    <w:p w:rsidR="009F06CA" w:rsidRDefault="00D0425F">
      <w:r>
        <w:t>Once the Risk team are satisfied the trade has been recorded cor</w:t>
      </w:r>
      <w:r>
        <w:t>rectly, they will mark the trade as ‘confirmed’.</w:t>
      </w:r>
    </w:p>
    <w:p w:rsidR="009F06CA" w:rsidRDefault="00D0425F">
      <w:r>
        <w:t>The status of ‘pending’ is assigned to each trade automatically when it is entered. The statuses of ‘verified’ and ‘confirmed’ have checkboxes in the trade entry screen which are used to assign them.</w:t>
      </w:r>
    </w:p>
    <w:p w:rsidR="009F06CA" w:rsidRDefault="00D0425F">
      <w:r>
        <w:t>The statuses must be assigned sequentially: the system will not permit a trade to be marked as ‘confirmed’ unless it has already been marked as ‘verified’. Users can only mark trades as ‘verified’ or ‘confirmed’ if they have the necessary permissions. Some</w:t>
      </w:r>
      <w:r>
        <w:t xml:space="preserve"> users can mark a trade as one, but not the other. An example table of different user role access levels and permissions can be found in Appendix 7.</w:t>
      </w:r>
    </w:p>
    <w:p w:rsidR="009F06CA" w:rsidRDefault="00D0425F">
      <w:r>
        <w:t xml:space="preserve">Trades marked as “pending”, “verified”, or “confirmed” appear in updated trade positions. </w:t>
      </w:r>
    </w:p>
    <w:p w:rsidR="009F06CA" w:rsidRDefault="00D0425F">
      <w:r>
        <w:lastRenderedPageBreak/>
        <w:t>Trade statuses a</w:t>
      </w:r>
      <w:r>
        <w:t>re highlighted in the trade list, making trades at different stages of approval easy to spot whilst scrolling. However, to make finding un-verified, or un-confirmed trades easier, there are two filters available to assist. One finds only trades that have a</w:t>
      </w:r>
      <w:r>
        <w:t xml:space="preserve"> particular status, while the other finds trades that do not have a particular status.</w:t>
      </w:r>
    </w:p>
    <w:p w:rsidR="009F06CA" w:rsidRDefault="00D0425F">
      <w:r>
        <w:t>Therefore, if (for example) the Risk team wish to find all trades that have been marked as ‘verified’, but not yet marked as ‘confirmed’, they can select ‘has status: ve</w:t>
      </w:r>
      <w:r>
        <w:t>rified’ from the filters and ‘does not have status: confirmed’ to bring up a shortlist of trades they need to check.</w:t>
      </w:r>
    </w:p>
    <w:p w:rsidR="009F06CA" w:rsidRDefault="00D0425F">
      <w:r>
        <w:t>If a material issue is found with a trade (for example, the volume or price is wrong, or the trade is assigned to the wrong basket), rather</w:t>
      </w:r>
      <w:r>
        <w:t xml:space="preserve"> than being edited it may be ‘voided’ instead. Trades can be marked as ‘void’ by ticking a box on the trade entry/edit screen. When a trade is voided, the record remains on the system, but it is treated as though it doesn’t exist. It no longer has any impa</w:t>
      </w:r>
      <w:r>
        <w:t>ct on the positions of the relevant basket, and it is ignored for risk reporting purposes.</w:t>
      </w:r>
    </w:p>
    <w:p w:rsidR="009F06CA" w:rsidRDefault="00D0425F">
      <w:r>
        <w:t xml:space="preserve">In effect, ‘voiding’ a trade is equivalent to deleting it, but leaving a copy of the record on the system for audit purposes. This is preferable to deleting trades, </w:t>
      </w:r>
      <w:r>
        <w:t>as it enables the details to be recalled if they are ever required for any reason. The ETS does allow trades to be deleted, but only users with specific permissions can do so. The only user at CCS authorised to delete trades is the Head of Risk, and the fu</w:t>
      </w:r>
      <w:r>
        <w:t>nctionality is rarely used, and then usually only for non-live trades such as benchmark trades.</w:t>
      </w:r>
    </w:p>
    <w:p w:rsidR="009F06CA" w:rsidRDefault="00D0425F">
      <w:r>
        <w:t>‘Void’ is not an approval status like ‘verified’ or ‘confirmed’; it is a completely separate status used to identify which trades are to be used by the system f</w:t>
      </w:r>
      <w:r>
        <w:t>or position reporting and calculations. As such, a separate field is used in the database to store the ‘void’ market. It is not possible to mark a trade as void if its status is set to verified or confirmed.</w:t>
      </w:r>
    </w:p>
    <w:p w:rsidR="009F06CA" w:rsidRDefault="009F06CA"/>
    <w:p w:rsidR="009F06CA" w:rsidRDefault="00D0425F">
      <w:pPr>
        <w:pStyle w:val="Heading1"/>
      </w:pPr>
      <w:bookmarkStart w:id="32" w:name="_54bpgac6nixu" w:colFirst="0" w:colLast="0"/>
      <w:bookmarkEnd w:id="32"/>
      <w:r>
        <w:t>Exclusions from scope</w:t>
      </w:r>
    </w:p>
    <w:p w:rsidR="009F06CA" w:rsidRDefault="00D0425F">
      <w:r>
        <w:t>There are a number of ETS</w:t>
      </w:r>
      <w:r>
        <w:t xml:space="preserve"> functions that, while commonly used by other market participants, are not needed by CCS. This is due to the nature of the CCS energy supply contracts and the way the trading operation is set up.</w:t>
      </w:r>
    </w:p>
    <w:p w:rsidR="009F06CA" w:rsidRDefault="00D0425F">
      <w:r>
        <w:t>CCS do not trade directly in the wholesale markets; instead,</w:t>
      </w:r>
      <w:r>
        <w:t xml:space="preserve"> we instruct our suppliers, who secure volume on our behalf. As such, CCS never transacts directly with a counterparty. As a consequence of this CCS does not need to manage</w:t>
      </w:r>
      <w:r>
        <w:rPr>
          <w:b/>
        </w:rPr>
        <w:t xml:space="preserve"> credit risk</w:t>
      </w:r>
      <w:r>
        <w:t xml:space="preserve"> or </w:t>
      </w:r>
      <w:r>
        <w:rPr>
          <w:b/>
        </w:rPr>
        <w:t>collateral</w:t>
      </w:r>
      <w:r>
        <w:t>. As the trades are transacted by the supplier in their na</w:t>
      </w:r>
      <w:r>
        <w:t xml:space="preserve">me, CCS are not a counterparty to market trades. As such, CCS do not use any ETS functions related to </w:t>
      </w:r>
      <w:r>
        <w:rPr>
          <w:b/>
        </w:rPr>
        <w:t xml:space="preserve">settlement </w:t>
      </w:r>
      <w:r>
        <w:t xml:space="preserve">or </w:t>
      </w:r>
      <w:r>
        <w:rPr>
          <w:b/>
        </w:rPr>
        <w:t>counterparty trade notifications</w:t>
      </w:r>
      <w:r>
        <w:t>.</w:t>
      </w:r>
    </w:p>
    <w:p w:rsidR="009F06CA" w:rsidRDefault="00D0425F">
      <w:r>
        <w:t xml:space="preserve">CCS does not currently have any </w:t>
      </w:r>
      <w:r>
        <w:rPr>
          <w:b/>
        </w:rPr>
        <w:t>regulatory reporting requirements</w:t>
      </w:r>
      <w:r>
        <w:t>. In the event this changes, CCS will wor</w:t>
      </w:r>
      <w:r>
        <w:t>k with the ETS provider to identify options for meeting any requirements.</w:t>
      </w:r>
    </w:p>
    <w:p w:rsidR="009F06CA" w:rsidRDefault="00D0425F">
      <w:r>
        <w:br w:type="page"/>
      </w:r>
    </w:p>
    <w:p w:rsidR="009F06CA" w:rsidRDefault="00D0425F">
      <w:pPr>
        <w:pStyle w:val="Heading1"/>
      </w:pPr>
      <w:bookmarkStart w:id="33" w:name="_1y810tw" w:colFirst="0" w:colLast="0"/>
      <w:bookmarkEnd w:id="33"/>
      <w:r>
        <w:lastRenderedPageBreak/>
        <w:t>Appendix 1: Price curve loading example</w:t>
      </w:r>
    </w:p>
    <w:p w:rsidR="009F06CA" w:rsidRDefault="00D0425F">
      <w:r>
        <w:t>CCS uploads two forward price curves (one for power, one for gas) into the ETS on a daily basis. To minimise processing time, this is a part</w:t>
      </w:r>
      <w:r>
        <w:t>ial curve upload: the upload files start from the current date, and extend out as far as data is available (historic static data is not re-uploaded). When uploaded into the system, the new prices overwrite existing prices where applicable. Where pricing da</w:t>
      </w:r>
      <w:r>
        <w:t>ta is not included in the upload (i.e. historic data prior to the present day) the system keeps the existing data, as illustrated in the following example:</w:t>
      </w:r>
    </w:p>
    <w:tbl>
      <w:tblPr>
        <w:tblStyle w:val="a4"/>
        <w:tblW w:w="4253" w:type="dxa"/>
        <w:tblInd w:w="-5" w:type="dxa"/>
        <w:tblLayout w:type="fixed"/>
        <w:tblLook w:val="0400" w:firstRow="0" w:lastRow="0" w:firstColumn="0" w:lastColumn="0" w:noHBand="0" w:noVBand="1"/>
      </w:tblPr>
      <w:tblGrid>
        <w:gridCol w:w="1276"/>
        <w:gridCol w:w="2977"/>
      </w:tblGrid>
      <w:tr w:rsidR="009F06CA">
        <w:trPr>
          <w:trHeight w:val="300"/>
        </w:trPr>
        <w:tc>
          <w:tcPr>
            <w:tcW w:w="4253" w:type="dxa"/>
            <w:gridSpan w:val="2"/>
            <w:tcBorders>
              <w:top w:val="single" w:sz="4" w:space="0" w:color="000000"/>
              <w:left w:val="single" w:sz="4" w:space="0" w:color="000000"/>
              <w:bottom w:val="single" w:sz="4" w:space="0" w:color="000000"/>
              <w:right w:val="single" w:sz="4" w:space="0" w:color="000000"/>
            </w:tcBorders>
            <w:shd w:val="clear" w:color="auto" w:fill="0070C0"/>
            <w:vAlign w:val="center"/>
          </w:tcPr>
          <w:p w:rsidR="009F06CA" w:rsidRDefault="00D0425F">
            <w:pPr>
              <w:spacing w:after="0" w:line="240" w:lineRule="auto"/>
              <w:jc w:val="center"/>
              <w:rPr>
                <w:b/>
                <w:color w:val="FFFFFF"/>
              </w:rPr>
            </w:pPr>
            <w:r>
              <w:rPr>
                <w:b/>
                <w:color w:val="FFFFFF"/>
              </w:rPr>
              <w:t>Key</w:t>
            </w:r>
          </w:p>
        </w:tc>
      </w:tr>
      <w:tr w:rsidR="009F06CA">
        <w:trPr>
          <w:trHeight w:val="300"/>
        </w:trPr>
        <w:tc>
          <w:tcPr>
            <w:tcW w:w="1276" w:type="dxa"/>
            <w:tcBorders>
              <w:top w:val="nil"/>
              <w:left w:val="single" w:sz="4" w:space="0" w:color="000000"/>
              <w:bottom w:val="single" w:sz="4" w:space="0" w:color="000000"/>
              <w:right w:val="single" w:sz="4" w:space="0" w:color="000000"/>
            </w:tcBorders>
            <w:shd w:val="clear" w:color="auto" w:fill="C6EFCE"/>
            <w:vAlign w:val="bottom"/>
          </w:tcPr>
          <w:p w:rsidR="009F06CA" w:rsidRDefault="00D0425F">
            <w:pPr>
              <w:spacing w:after="0" w:line="240" w:lineRule="auto"/>
              <w:rPr>
                <w:color w:val="006100"/>
              </w:rPr>
            </w:pPr>
            <w:r>
              <w:rPr>
                <w:color w:val="006100"/>
              </w:rPr>
              <w:t>Green</w:t>
            </w:r>
          </w:p>
        </w:tc>
        <w:tc>
          <w:tcPr>
            <w:tcW w:w="2977" w:type="dxa"/>
            <w:tcBorders>
              <w:top w:val="single" w:sz="4" w:space="0" w:color="000000"/>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Price in system changed</w:t>
            </w:r>
          </w:p>
        </w:tc>
      </w:tr>
      <w:tr w:rsidR="009F06CA">
        <w:trPr>
          <w:trHeight w:val="300"/>
        </w:trPr>
        <w:tc>
          <w:tcPr>
            <w:tcW w:w="1276" w:type="dxa"/>
            <w:tcBorders>
              <w:top w:val="nil"/>
              <w:left w:val="single" w:sz="4" w:space="0" w:color="000000"/>
              <w:bottom w:val="single" w:sz="4" w:space="0" w:color="000000"/>
              <w:right w:val="single" w:sz="4" w:space="0" w:color="000000"/>
            </w:tcBorders>
            <w:shd w:val="clear" w:color="auto" w:fill="FFC7CE"/>
            <w:vAlign w:val="bottom"/>
          </w:tcPr>
          <w:p w:rsidR="009F06CA" w:rsidRDefault="00D0425F">
            <w:pPr>
              <w:spacing w:after="0" w:line="240" w:lineRule="auto"/>
              <w:rPr>
                <w:color w:val="9C0006"/>
              </w:rPr>
            </w:pPr>
            <w:r>
              <w:rPr>
                <w:color w:val="9C0006"/>
              </w:rPr>
              <w:t>Red</w:t>
            </w:r>
          </w:p>
        </w:tc>
        <w:tc>
          <w:tcPr>
            <w:tcW w:w="2977" w:type="dxa"/>
            <w:tcBorders>
              <w:top w:val="single" w:sz="4" w:space="0" w:color="000000"/>
              <w:left w:val="nil"/>
              <w:bottom w:val="single" w:sz="4" w:space="0" w:color="000000"/>
              <w:right w:val="single" w:sz="4" w:space="0" w:color="000000"/>
            </w:tcBorders>
            <w:shd w:val="clear" w:color="auto" w:fill="auto"/>
            <w:vAlign w:val="bottom"/>
          </w:tcPr>
          <w:p w:rsidR="009F06CA" w:rsidRDefault="00D0425F">
            <w:pPr>
              <w:spacing w:after="0" w:line="240" w:lineRule="auto"/>
              <w:rPr>
                <w:color w:val="000000"/>
              </w:rPr>
            </w:pPr>
            <w:r>
              <w:rPr>
                <w:color w:val="000000"/>
              </w:rPr>
              <w:t>Price in system unchanged</w:t>
            </w:r>
          </w:p>
        </w:tc>
      </w:tr>
    </w:tbl>
    <w:p w:rsidR="009F06CA" w:rsidRDefault="009F06CA"/>
    <w:tbl>
      <w:tblPr>
        <w:tblStyle w:val="a5"/>
        <w:tblW w:w="9072" w:type="dxa"/>
        <w:tblInd w:w="-5" w:type="dxa"/>
        <w:tblLayout w:type="fixed"/>
        <w:tblLook w:val="0400" w:firstRow="0" w:lastRow="0" w:firstColumn="0" w:lastColumn="0" w:noHBand="0" w:noVBand="1"/>
      </w:tblPr>
      <w:tblGrid>
        <w:gridCol w:w="993"/>
        <w:gridCol w:w="1771"/>
        <w:gridCol w:w="1772"/>
        <w:gridCol w:w="1772"/>
        <w:gridCol w:w="1772"/>
        <w:gridCol w:w="992"/>
      </w:tblGrid>
      <w:tr w:rsidR="009F06CA">
        <w:trPr>
          <w:trHeight w:val="9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771" w:type="dxa"/>
            <w:tcBorders>
              <w:top w:val="single" w:sz="4" w:space="0" w:color="000000"/>
              <w:left w:val="single" w:sz="4" w:space="0" w:color="000000"/>
              <w:bottom w:val="single" w:sz="4" w:space="0" w:color="000000"/>
              <w:right w:val="single" w:sz="4" w:space="0" w:color="000000"/>
            </w:tcBorders>
            <w:shd w:val="clear" w:color="auto" w:fill="0070C0"/>
            <w:vAlign w:val="center"/>
          </w:tcPr>
          <w:p w:rsidR="009F06CA" w:rsidRDefault="00D0425F">
            <w:pPr>
              <w:spacing w:after="0" w:line="240" w:lineRule="auto"/>
              <w:jc w:val="center"/>
              <w:rPr>
                <w:b/>
                <w:color w:val="FFFFFF"/>
              </w:rPr>
            </w:pPr>
            <w:r>
              <w:rPr>
                <w:b/>
                <w:color w:val="FFFFFF"/>
              </w:rPr>
              <w:t>Date</w:t>
            </w:r>
          </w:p>
        </w:tc>
        <w:tc>
          <w:tcPr>
            <w:tcW w:w="1772" w:type="dxa"/>
            <w:tcBorders>
              <w:top w:val="single" w:sz="4" w:space="0" w:color="000000"/>
              <w:left w:val="nil"/>
              <w:bottom w:val="single" w:sz="4" w:space="0" w:color="000000"/>
              <w:right w:val="single" w:sz="4" w:space="0" w:color="000000"/>
            </w:tcBorders>
            <w:shd w:val="clear" w:color="auto" w:fill="0070C0"/>
            <w:vAlign w:val="center"/>
          </w:tcPr>
          <w:p w:rsidR="009F06CA" w:rsidRDefault="00D0425F">
            <w:pPr>
              <w:spacing w:after="0" w:line="240" w:lineRule="auto"/>
              <w:jc w:val="center"/>
              <w:rPr>
                <w:b/>
                <w:color w:val="FFFFFF"/>
              </w:rPr>
            </w:pPr>
            <w:r>
              <w:rPr>
                <w:b/>
                <w:color w:val="FFFFFF"/>
              </w:rPr>
              <w:t>ETS price data before upload</w:t>
            </w:r>
          </w:p>
        </w:tc>
        <w:tc>
          <w:tcPr>
            <w:tcW w:w="1772" w:type="dxa"/>
            <w:tcBorders>
              <w:top w:val="single" w:sz="4" w:space="0" w:color="000000"/>
              <w:left w:val="nil"/>
              <w:bottom w:val="single" w:sz="4" w:space="0" w:color="000000"/>
              <w:right w:val="single" w:sz="4" w:space="0" w:color="000000"/>
            </w:tcBorders>
            <w:shd w:val="clear" w:color="auto" w:fill="0070C0"/>
            <w:vAlign w:val="center"/>
          </w:tcPr>
          <w:p w:rsidR="009F06CA" w:rsidRDefault="00D0425F">
            <w:pPr>
              <w:spacing w:after="0" w:line="240" w:lineRule="auto"/>
              <w:jc w:val="center"/>
              <w:rPr>
                <w:b/>
                <w:color w:val="FFFFFF"/>
              </w:rPr>
            </w:pPr>
            <w:r>
              <w:rPr>
                <w:b/>
                <w:color w:val="FFFFFF"/>
              </w:rPr>
              <w:t>Price data file</w:t>
            </w:r>
          </w:p>
        </w:tc>
        <w:tc>
          <w:tcPr>
            <w:tcW w:w="1772" w:type="dxa"/>
            <w:tcBorders>
              <w:top w:val="single" w:sz="4" w:space="0" w:color="000000"/>
              <w:left w:val="nil"/>
              <w:bottom w:val="single" w:sz="4" w:space="0" w:color="000000"/>
              <w:right w:val="single" w:sz="4" w:space="0" w:color="000000"/>
            </w:tcBorders>
            <w:shd w:val="clear" w:color="auto" w:fill="0070C0"/>
            <w:vAlign w:val="center"/>
          </w:tcPr>
          <w:p w:rsidR="009F06CA" w:rsidRDefault="00D0425F">
            <w:pPr>
              <w:spacing w:after="0" w:line="240" w:lineRule="auto"/>
              <w:jc w:val="center"/>
              <w:rPr>
                <w:b/>
                <w:color w:val="FFFFFF"/>
              </w:rPr>
            </w:pPr>
            <w:r>
              <w:rPr>
                <w:b/>
                <w:color w:val="FFFFFF"/>
              </w:rPr>
              <w:t>ETS price data after upload</w:t>
            </w:r>
          </w:p>
        </w:tc>
        <w:tc>
          <w:tcPr>
            <w:tcW w:w="992" w:type="dxa"/>
            <w:tcBorders>
              <w:top w:val="nil"/>
              <w:left w:val="nil"/>
              <w:bottom w:val="nil"/>
              <w:right w:val="nil"/>
            </w:tcBorders>
            <w:shd w:val="clear" w:color="auto" w:fill="auto"/>
            <w:vAlign w:val="bottom"/>
          </w:tcPr>
          <w:p w:rsidR="009F06CA" w:rsidRDefault="009F06CA">
            <w:pPr>
              <w:spacing w:after="0" w:line="240" w:lineRule="auto"/>
              <w:jc w:val="center"/>
              <w:rPr>
                <w:b/>
                <w:color w:val="FFFFFF"/>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77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01 Sep</w:t>
            </w:r>
          </w:p>
        </w:tc>
        <w:tc>
          <w:tcPr>
            <w:tcW w:w="177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45.00</w:t>
            </w:r>
          </w:p>
        </w:tc>
        <w:tc>
          <w:tcPr>
            <w:tcW w:w="177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 </w:t>
            </w:r>
          </w:p>
        </w:tc>
        <w:tc>
          <w:tcPr>
            <w:tcW w:w="1772" w:type="dxa"/>
            <w:tcBorders>
              <w:top w:val="nil"/>
              <w:left w:val="nil"/>
              <w:bottom w:val="single" w:sz="4" w:space="0" w:color="000000"/>
              <w:right w:val="single" w:sz="4" w:space="0" w:color="000000"/>
            </w:tcBorders>
            <w:shd w:val="clear" w:color="auto" w:fill="FFC7CE"/>
            <w:vAlign w:val="bottom"/>
          </w:tcPr>
          <w:p w:rsidR="009F06CA" w:rsidRDefault="00D0425F">
            <w:pPr>
              <w:spacing w:after="0" w:line="240" w:lineRule="auto"/>
              <w:jc w:val="center"/>
              <w:rPr>
                <w:color w:val="9C0006"/>
              </w:rPr>
            </w:pPr>
            <w:r>
              <w:rPr>
                <w:color w:val="9C0006"/>
              </w:rPr>
              <w:t>45.00</w:t>
            </w:r>
          </w:p>
        </w:tc>
        <w:tc>
          <w:tcPr>
            <w:tcW w:w="992" w:type="dxa"/>
            <w:tcBorders>
              <w:top w:val="nil"/>
              <w:left w:val="nil"/>
              <w:bottom w:val="nil"/>
              <w:right w:val="nil"/>
            </w:tcBorders>
            <w:shd w:val="clear" w:color="auto" w:fill="auto"/>
            <w:vAlign w:val="bottom"/>
          </w:tcPr>
          <w:p w:rsidR="009F06CA" w:rsidRDefault="009F06CA">
            <w:pPr>
              <w:spacing w:after="0" w:line="240" w:lineRule="auto"/>
              <w:jc w:val="center"/>
              <w:rPr>
                <w:color w:val="9C0006"/>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77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02 Sep</w:t>
            </w:r>
          </w:p>
        </w:tc>
        <w:tc>
          <w:tcPr>
            <w:tcW w:w="177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45.10</w:t>
            </w:r>
          </w:p>
        </w:tc>
        <w:tc>
          <w:tcPr>
            <w:tcW w:w="177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 </w:t>
            </w:r>
          </w:p>
        </w:tc>
        <w:tc>
          <w:tcPr>
            <w:tcW w:w="1772" w:type="dxa"/>
            <w:tcBorders>
              <w:top w:val="nil"/>
              <w:left w:val="nil"/>
              <w:bottom w:val="single" w:sz="4" w:space="0" w:color="000000"/>
              <w:right w:val="single" w:sz="4" w:space="0" w:color="000000"/>
            </w:tcBorders>
            <w:shd w:val="clear" w:color="auto" w:fill="FFC7CE"/>
            <w:vAlign w:val="bottom"/>
          </w:tcPr>
          <w:p w:rsidR="009F06CA" w:rsidRDefault="00D0425F">
            <w:pPr>
              <w:spacing w:after="0" w:line="240" w:lineRule="auto"/>
              <w:jc w:val="center"/>
              <w:rPr>
                <w:color w:val="9C0006"/>
              </w:rPr>
            </w:pPr>
            <w:r>
              <w:rPr>
                <w:color w:val="9C0006"/>
              </w:rPr>
              <w:t>45.10</w:t>
            </w:r>
          </w:p>
        </w:tc>
        <w:tc>
          <w:tcPr>
            <w:tcW w:w="992" w:type="dxa"/>
            <w:tcBorders>
              <w:top w:val="nil"/>
              <w:left w:val="nil"/>
              <w:bottom w:val="nil"/>
              <w:right w:val="nil"/>
            </w:tcBorders>
            <w:shd w:val="clear" w:color="auto" w:fill="auto"/>
            <w:vAlign w:val="bottom"/>
          </w:tcPr>
          <w:p w:rsidR="009F06CA" w:rsidRDefault="009F06CA">
            <w:pPr>
              <w:spacing w:after="0" w:line="240" w:lineRule="auto"/>
              <w:jc w:val="center"/>
              <w:rPr>
                <w:color w:val="9C0006"/>
              </w:rPr>
            </w:pPr>
          </w:p>
        </w:tc>
      </w:tr>
      <w:tr w:rsidR="009F06CA">
        <w:trPr>
          <w:trHeight w:val="315"/>
        </w:trPr>
        <w:tc>
          <w:tcPr>
            <w:tcW w:w="993" w:type="dxa"/>
            <w:tcBorders>
              <w:top w:val="nil"/>
              <w:left w:val="nil"/>
              <w:bottom w:val="single" w:sz="12" w:space="0" w:color="000000"/>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771" w:type="dxa"/>
            <w:tcBorders>
              <w:top w:val="nil"/>
              <w:left w:val="single" w:sz="4" w:space="0" w:color="000000"/>
              <w:bottom w:val="single" w:sz="12"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03 Sep</w:t>
            </w:r>
          </w:p>
        </w:tc>
        <w:tc>
          <w:tcPr>
            <w:tcW w:w="1772" w:type="dxa"/>
            <w:tcBorders>
              <w:top w:val="nil"/>
              <w:left w:val="nil"/>
              <w:bottom w:val="single" w:sz="12"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45.20</w:t>
            </w:r>
          </w:p>
        </w:tc>
        <w:tc>
          <w:tcPr>
            <w:tcW w:w="1772" w:type="dxa"/>
            <w:tcBorders>
              <w:top w:val="nil"/>
              <w:left w:val="nil"/>
              <w:bottom w:val="single" w:sz="12"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 </w:t>
            </w:r>
          </w:p>
        </w:tc>
        <w:tc>
          <w:tcPr>
            <w:tcW w:w="1772" w:type="dxa"/>
            <w:tcBorders>
              <w:top w:val="nil"/>
              <w:left w:val="nil"/>
              <w:bottom w:val="single" w:sz="12" w:space="0" w:color="000000"/>
              <w:right w:val="single" w:sz="4" w:space="0" w:color="000000"/>
            </w:tcBorders>
            <w:shd w:val="clear" w:color="auto" w:fill="FFC7CE"/>
            <w:vAlign w:val="bottom"/>
          </w:tcPr>
          <w:p w:rsidR="009F06CA" w:rsidRDefault="00D0425F">
            <w:pPr>
              <w:spacing w:after="0" w:line="240" w:lineRule="auto"/>
              <w:jc w:val="center"/>
              <w:rPr>
                <w:color w:val="9C0006"/>
              </w:rPr>
            </w:pPr>
            <w:r>
              <w:rPr>
                <w:color w:val="9C0006"/>
              </w:rPr>
              <w:t>45.20</w:t>
            </w:r>
          </w:p>
        </w:tc>
        <w:tc>
          <w:tcPr>
            <w:tcW w:w="992" w:type="dxa"/>
            <w:tcBorders>
              <w:top w:val="nil"/>
              <w:left w:val="nil"/>
              <w:bottom w:val="single" w:sz="12" w:space="0" w:color="000000"/>
              <w:right w:val="nil"/>
            </w:tcBorders>
            <w:shd w:val="clear" w:color="auto" w:fill="auto"/>
            <w:vAlign w:val="bottom"/>
          </w:tcPr>
          <w:p w:rsidR="009F06CA" w:rsidRDefault="009F06CA">
            <w:pPr>
              <w:spacing w:after="0" w:line="240" w:lineRule="auto"/>
              <w:jc w:val="center"/>
              <w:rPr>
                <w:color w:val="9C0006"/>
              </w:rPr>
            </w:pPr>
          </w:p>
        </w:tc>
      </w:tr>
      <w:tr w:rsidR="009F06CA">
        <w:trPr>
          <w:trHeight w:val="300"/>
        </w:trPr>
        <w:tc>
          <w:tcPr>
            <w:tcW w:w="993" w:type="dxa"/>
            <w:tcBorders>
              <w:top w:val="single" w:sz="12" w:space="0" w:color="000000"/>
              <w:left w:val="nil"/>
              <w:bottom w:val="nil"/>
              <w:right w:val="nil"/>
            </w:tcBorders>
            <w:shd w:val="clear" w:color="auto" w:fill="auto"/>
            <w:vAlign w:val="bottom"/>
          </w:tcPr>
          <w:p w:rsidR="009F06CA" w:rsidRDefault="00D0425F">
            <w:pPr>
              <w:spacing w:after="0" w:line="240" w:lineRule="auto"/>
              <w:rPr>
                <w:b/>
                <w:color w:val="000000"/>
              </w:rPr>
            </w:pPr>
            <w:r>
              <w:rPr>
                <w:b/>
                <w:color w:val="000000"/>
              </w:rPr>
              <w:t>Today &gt;</w:t>
            </w:r>
          </w:p>
        </w:tc>
        <w:tc>
          <w:tcPr>
            <w:tcW w:w="1771" w:type="dxa"/>
            <w:tcBorders>
              <w:top w:val="single" w:sz="12" w:space="0" w:color="000000"/>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04 Sep</w:t>
            </w:r>
          </w:p>
        </w:tc>
        <w:tc>
          <w:tcPr>
            <w:tcW w:w="1772" w:type="dxa"/>
            <w:tcBorders>
              <w:top w:val="single" w:sz="12" w:space="0" w:color="000000"/>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45.30</w:t>
            </w:r>
          </w:p>
        </w:tc>
        <w:tc>
          <w:tcPr>
            <w:tcW w:w="1772" w:type="dxa"/>
            <w:tcBorders>
              <w:top w:val="single" w:sz="12" w:space="0" w:color="000000"/>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45.45</w:t>
            </w:r>
          </w:p>
        </w:tc>
        <w:tc>
          <w:tcPr>
            <w:tcW w:w="1772" w:type="dxa"/>
            <w:tcBorders>
              <w:top w:val="single" w:sz="12" w:space="0" w:color="000000"/>
              <w:left w:val="nil"/>
              <w:bottom w:val="single" w:sz="4" w:space="0" w:color="000000"/>
              <w:right w:val="single" w:sz="4" w:space="0" w:color="000000"/>
            </w:tcBorders>
            <w:shd w:val="clear" w:color="auto" w:fill="C6EFCE"/>
            <w:vAlign w:val="bottom"/>
          </w:tcPr>
          <w:p w:rsidR="009F06CA" w:rsidRDefault="00D0425F">
            <w:pPr>
              <w:spacing w:after="0" w:line="240" w:lineRule="auto"/>
              <w:jc w:val="center"/>
              <w:rPr>
                <w:color w:val="006100"/>
              </w:rPr>
            </w:pPr>
            <w:r>
              <w:rPr>
                <w:color w:val="006100"/>
              </w:rPr>
              <w:t>45.45</w:t>
            </w:r>
          </w:p>
        </w:tc>
        <w:tc>
          <w:tcPr>
            <w:tcW w:w="992" w:type="dxa"/>
            <w:tcBorders>
              <w:top w:val="single" w:sz="12" w:space="0" w:color="000000"/>
              <w:left w:val="nil"/>
              <w:bottom w:val="nil"/>
              <w:right w:val="nil"/>
            </w:tcBorders>
            <w:shd w:val="clear" w:color="auto" w:fill="auto"/>
            <w:vAlign w:val="bottom"/>
          </w:tcPr>
          <w:p w:rsidR="009F06CA" w:rsidRDefault="00D0425F">
            <w:pPr>
              <w:spacing w:after="0" w:line="240" w:lineRule="auto"/>
              <w:rPr>
                <w:b/>
                <w:color w:val="000000"/>
              </w:rPr>
            </w:pPr>
            <w:r>
              <w:rPr>
                <w:b/>
                <w:color w:val="000000"/>
              </w:rPr>
              <w:t>&lt; Today</w:t>
            </w: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b/>
                <w:color w:val="000000"/>
              </w:rPr>
            </w:pPr>
          </w:p>
        </w:tc>
        <w:tc>
          <w:tcPr>
            <w:tcW w:w="177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05 Sep</w:t>
            </w:r>
          </w:p>
        </w:tc>
        <w:tc>
          <w:tcPr>
            <w:tcW w:w="177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45.40</w:t>
            </w:r>
          </w:p>
        </w:tc>
        <w:tc>
          <w:tcPr>
            <w:tcW w:w="177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45.60</w:t>
            </w:r>
          </w:p>
        </w:tc>
        <w:tc>
          <w:tcPr>
            <w:tcW w:w="1772" w:type="dxa"/>
            <w:tcBorders>
              <w:top w:val="nil"/>
              <w:left w:val="nil"/>
              <w:bottom w:val="single" w:sz="4" w:space="0" w:color="000000"/>
              <w:right w:val="single" w:sz="4" w:space="0" w:color="000000"/>
            </w:tcBorders>
            <w:shd w:val="clear" w:color="auto" w:fill="C6EFCE"/>
            <w:vAlign w:val="bottom"/>
          </w:tcPr>
          <w:p w:rsidR="009F06CA" w:rsidRDefault="00D0425F">
            <w:pPr>
              <w:spacing w:after="0" w:line="240" w:lineRule="auto"/>
              <w:jc w:val="center"/>
              <w:rPr>
                <w:color w:val="006100"/>
              </w:rPr>
            </w:pPr>
            <w:r>
              <w:rPr>
                <w:color w:val="006100"/>
              </w:rPr>
              <w:t>45.60</w:t>
            </w:r>
          </w:p>
        </w:tc>
        <w:tc>
          <w:tcPr>
            <w:tcW w:w="992" w:type="dxa"/>
            <w:tcBorders>
              <w:top w:val="nil"/>
              <w:left w:val="nil"/>
              <w:bottom w:val="nil"/>
              <w:right w:val="nil"/>
            </w:tcBorders>
            <w:shd w:val="clear" w:color="auto" w:fill="auto"/>
            <w:vAlign w:val="bottom"/>
          </w:tcPr>
          <w:p w:rsidR="009F06CA" w:rsidRDefault="009F06CA">
            <w:pPr>
              <w:spacing w:after="0" w:line="240" w:lineRule="auto"/>
              <w:jc w:val="center"/>
              <w:rPr>
                <w:color w:val="006100"/>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77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06 Sep</w:t>
            </w:r>
          </w:p>
        </w:tc>
        <w:tc>
          <w:tcPr>
            <w:tcW w:w="177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45.50</w:t>
            </w:r>
          </w:p>
        </w:tc>
        <w:tc>
          <w:tcPr>
            <w:tcW w:w="177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45.75</w:t>
            </w:r>
          </w:p>
        </w:tc>
        <w:tc>
          <w:tcPr>
            <w:tcW w:w="1772" w:type="dxa"/>
            <w:tcBorders>
              <w:top w:val="nil"/>
              <w:left w:val="nil"/>
              <w:bottom w:val="single" w:sz="4" w:space="0" w:color="000000"/>
              <w:right w:val="single" w:sz="4" w:space="0" w:color="000000"/>
            </w:tcBorders>
            <w:shd w:val="clear" w:color="auto" w:fill="C6EFCE"/>
            <w:vAlign w:val="bottom"/>
          </w:tcPr>
          <w:p w:rsidR="009F06CA" w:rsidRDefault="00D0425F">
            <w:pPr>
              <w:spacing w:after="0" w:line="240" w:lineRule="auto"/>
              <w:jc w:val="center"/>
              <w:rPr>
                <w:color w:val="006100"/>
              </w:rPr>
            </w:pPr>
            <w:r>
              <w:rPr>
                <w:color w:val="006100"/>
              </w:rPr>
              <w:t>45.75</w:t>
            </w:r>
          </w:p>
        </w:tc>
        <w:tc>
          <w:tcPr>
            <w:tcW w:w="992" w:type="dxa"/>
            <w:tcBorders>
              <w:top w:val="nil"/>
              <w:left w:val="nil"/>
              <w:bottom w:val="nil"/>
              <w:right w:val="nil"/>
            </w:tcBorders>
            <w:shd w:val="clear" w:color="auto" w:fill="auto"/>
            <w:vAlign w:val="bottom"/>
          </w:tcPr>
          <w:p w:rsidR="009F06CA" w:rsidRDefault="009F06CA">
            <w:pPr>
              <w:spacing w:after="0" w:line="240" w:lineRule="auto"/>
              <w:jc w:val="center"/>
              <w:rPr>
                <w:color w:val="006100"/>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77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07 Sep</w:t>
            </w:r>
          </w:p>
        </w:tc>
        <w:tc>
          <w:tcPr>
            <w:tcW w:w="177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45.60</w:t>
            </w:r>
          </w:p>
        </w:tc>
        <w:tc>
          <w:tcPr>
            <w:tcW w:w="177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45.90</w:t>
            </w:r>
          </w:p>
        </w:tc>
        <w:tc>
          <w:tcPr>
            <w:tcW w:w="1772" w:type="dxa"/>
            <w:tcBorders>
              <w:top w:val="nil"/>
              <w:left w:val="nil"/>
              <w:bottom w:val="single" w:sz="4" w:space="0" w:color="000000"/>
              <w:right w:val="single" w:sz="4" w:space="0" w:color="000000"/>
            </w:tcBorders>
            <w:shd w:val="clear" w:color="auto" w:fill="C6EFCE"/>
            <w:vAlign w:val="bottom"/>
          </w:tcPr>
          <w:p w:rsidR="009F06CA" w:rsidRDefault="00D0425F">
            <w:pPr>
              <w:spacing w:after="0" w:line="240" w:lineRule="auto"/>
              <w:jc w:val="center"/>
              <w:rPr>
                <w:color w:val="006100"/>
              </w:rPr>
            </w:pPr>
            <w:r>
              <w:rPr>
                <w:color w:val="006100"/>
              </w:rPr>
              <w:t>45.90</w:t>
            </w:r>
          </w:p>
        </w:tc>
        <w:tc>
          <w:tcPr>
            <w:tcW w:w="992" w:type="dxa"/>
            <w:tcBorders>
              <w:top w:val="nil"/>
              <w:left w:val="nil"/>
              <w:bottom w:val="nil"/>
              <w:right w:val="nil"/>
            </w:tcBorders>
            <w:shd w:val="clear" w:color="auto" w:fill="auto"/>
            <w:vAlign w:val="bottom"/>
          </w:tcPr>
          <w:p w:rsidR="009F06CA" w:rsidRDefault="009F06CA">
            <w:pPr>
              <w:spacing w:after="0" w:line="240" w:lineRule="auto"/>
              <w:jc w:val="center"/>
              <w:rPr>
                <w:color w:val="006100"/>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77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08 Sep</w:t>
            </w:r>
          </w:p>
        </w:tc>
        <w:tc>
          <w:tcPr>
            <w:tcW w:w="177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45.70</w:t>
            </w:r>
          </w:p>
        </w:tc>
        <w:tc>
          <w:tcPr>
            <w:tcW w:w="177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46.05</w:t>
            </w:r>
          </w:p>
        </w:tc>
        <w:tc>
          <w:tcPr>
            <w:tcW w:w="1772" w:type="dxa"/>
            <w:tcBorders>
              <w:top w:val="nil"/>
              <w:left w:val="nil"/>
              <w:bottom w:val="single" w:sz="4" w:space="0" w:color="000000"/>
              <w:right w:val="single" w:sz="4" w:space="0" w:color="000000"/>
            </w:tcBorders>
            <w:shd w:val="clear" w:color="auto" w:fill="C6EFCE"/>
            <w:vAlign w:val="bottom"/>
          </w:tcPr>
          <w:p w:rsidR="009F06CA" w:rsidRDefault="00D0425F">
            <w:pPr>
              <w:spacing w:after="0" w:line="240" w:lineRule="auto"/>
              <w:jc w:val="center"/>
              <w:rPr>
                <w:color w:val="006100"/>
              </w:rPr>
            </w:pPr>
            <w:r>
              <w:rPr>
                <w:color w:val="006100"/>
              </w:rPr>
              <w:t>46.05</w:t>
            </w:r>
          </w:p>
        </w:tc>
        <w:tc>
          <w:tcPr>
            <w:tcW w:w="992" w:type="dxa"/>
            <w:tcBorders>
              <w:top w:val="nil"/>
              <w:left w:val="nil"/>
              <w:bottom w:val="nil"/>
              <w:right w:val="nil"/>
            </w:tcBorders>
            <w:shd w:val="clear" w:color="auto" w:fill="auto"/>
            <w:vAlign w:val="bottom"/>
          </w:tcPr>
          <w:p w:rsidR="009F06CA" w:rsidRDefault="009F06CA">
            <w:pPr>
              <w:spacing w:after="0" w:line="240" w:lineRule="auto"/>
              <w:jc w:val="center"/>
              <w:rPr>
                <w:color w:val="006100"/>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77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09 Sep</w:t>
            </w:r>
          </w:p>
        </w:tc>
        <w:tc>
          <w:tcPr>
            <w:tcW w:w="177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45.80</w:t>
            </w:r>
          </w:p>
        </w:tc>
        <w:tc>
          <w:tcPr>
            <w:tcW w:w="177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46.20</w:t>
            </w:r>
          </w:p>
        </w:tc>
        <w:tc>
          <w:tcPr>
            <w:tcW w:w="1772" w:type="dxa"/>
            <w:tcBorders>
              <w:top w:val="nil"/>
              <w:left w:val="nil"/>
              <w:bottom w:val="single" w:sz="4" w:space="0" w:color="000000"/>
              <w:right w:val="single" w:sz="4" w:space="0" w:color="000000"/>
            </w:tcBorders>
            <w:shd w:val="clear" w:color="auto" w:fill="C6EFCE"/>
            <w:vAlign w:val="bottom"/>
          </w:tcPr>
          <w:p w:rsidR="009F06CA" w:rsidRDefault="00D0425F">
            <w:pPr>
              <w:spacing w:after="0" w:line="240" w:lineRule="auto"/>
              <w:jc w:val="center"/>
              <w:rPr>
                <w:color w:val="006100"/>
              </w:rPr>
            </w:pPr>
            <w:r>
              <w:rPr>
                <w:color w:val="006100"/>
              </w:rPr>
              <w:t>46.20</w:t>
            </w:r>
          </w:p>
        </w:tc>
        <w:tc>
          <w:tcPr>
            <w:tcW w:w="992" w:type="dxa"/>
            <w:tcBorders>
              <w:top w:val="nil"/>
              <w:left w:val="nil"/>
              <w:bottom w:val="nil"/>
              <w:right w:val="nil"/>
            </w:tcBorders>
            <w:shd w:val="clear" w:color="auto" w:fill="auto"/>
            <w:vAlign w:val="bottom"/>
          </w:tcPr>
          <w:p w:rsidR="009F06CA" w:rsidRDefault="009F06CA">
            <w:pPr>
              <w:spacing w:after="0" w:line="240" w:lineRule="auto"/>
              <w:jc w:val="center"/>
              <w:rPr>
                <w:color w:val="006100"/>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77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10 Sep</w:t>
            </w:r>
          </w:p>
        </w:tc>
        <w:tc>
          <w:tcPr>
            <w:tcW w:w="177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45.90</w:t>
            </w:r>
          </w:p>
        </w:tc>
        <w:tc>
          <w:tcPr>
            <w:tcW w:w="177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46.35</w:t>
            </w:r>
          </w:p>
        </w:tc>
        <w:tc>
          <w:tcPr>
            <w:tcW w:w="1772" w:type="dxa"/>
            <w:tcBorders>
              <w:top w:val="nil"/>
              <w:left w:val="nil"/>
              <w:bottom w:val="single" w:sz="4" w:space="0" w:color="000000"/>
              <w:right w:val="single" w:sz="4" w:space="0" w:color="000000"/>
            </w:tcBorders>
            <w:shd w:val="clear" w:color="auto" w:fill="C6EFCE"/>
            <w:vAlign w:val="bottom"/>
          </w:tcPr>
          <w:p w:rsidR="009F06CA" w:rsidRDefault="00D0425F">
            <w:pPr>
              <w:spacing w:after="0" w:line="240" w:lineRule="auto"/>
              <w:jc w:val="center"/>
              <w:rPr>
                <w:color w:val="006100"/>
              </w:rPr>
            </w:pPr>
            <w:r>
              <w:rPr>
                <w:color w:val="006100"/>
              </w:rPr>
              <w:t>46.35</w:t>
            </w:r>
          </w:p>
        </w:tc>
        <w:tc>
          <w:tcPr>
            <w:tcW w:w="992" w:type="dxa"/>
            <w:tcBorders>
              <w:top w:val="nil"/>
              <w:left w:val="nil"/>
              <w:bottom w:val="nil"/>
              <w:right w:val="nil"/>
            </w:tcBorders>
            <w:shd w:val="clear" w:color="auto" w:fill="auto"/>
            <w:vAlign w:val="bottom"/>
          </w:tcPr>
          <w:p w:rsidR="009F06CA" w:rsidRDefault="009F06CA">
            <w:pPr>
              <w:spacing w:after="0" w:line="240" w:lineRule="auto"/>
              <w:jc w:val="center"/>
              <w:rPr>
                <w:color w:val="006100"/>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77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11 Sep</w:t>
            </w:r>
          </w:p>
        </w:tc>
        <w:tc>
          <w:tcPr>
            <w:tcW w:w="177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46.00</w:t>
            </w:r>
          </w:p>
        </w:tc>
        <w:tc>
          <w:tcPr>
            <w:tcW w:w="177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46.50</w:t>
            </w:r>
          </w:p>
        </w:tc>
        <w:tc>
          <w:tcPr>
            <w:tcW w:w="1772" w:type="dxa"/>
            <w:tcBorders>
              <w:top w:val="nil"/>
              <w:left w:val="nil"/>
              <w:bottom w:val="single" w:sz="4" w:space="0" w:color="000000"/>
              <w:right w:val="single" w:sz="4" w:space="0" w:color="000000"/>
            </w:tcBorders>
            <w:shd w:val="clear" w:color="auto" w:fill="C6EFCE"/>
            <w:vAlign w:val="bottom"/>
          </w:tcPr>
          <w:p w:rsidR="009F06CA" w:rsidRDefault="00D0425F">
            <w:pPr>
              <w:spacing w:after="0" w:line="240" w:lineRule="auto"/>
              <w:jc w:val="center"/>
              <w:rPr>
                <w:color w:val="006100"/>
              </w:rPr>
            </w:pPr>
            <w:r>
              <w:rPr>
                <w:color w:val="006100"/>
              </w:rPr>
              <w:t>46.50</w:t>
            </w:r>
          </w:p>
        </w:tc>
        <w:tc>
          <w:tcPr>
            <w:tcW w:w="992" w:type="dxa"/>
            <w:tcBorders>
              <w:top w:val="nil"/>
              <w:left w:val="nil"/>
              <w:bottom w:val="nil"/>
              <w:right w:val="nil"/>
            </w:tcBorders>
            <w:shd w:val="clear" w:color="auto" w:fill="auto"/>
            <w:vAlign w:val="bottom"/>
          </w:tcPr>
          <w:p w:rsidR="009F06CA" w:rsidRDefault="009F06CA">
            <w:pPr>
              <w:spacing w:after="0" w:line="240" w:lineRule="auto"/>
              <w:jc w:val="center"/>
              <w:rPr>
                <w:color w:val="006100"/>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77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12 Sep</w:t>
            </w:r>
          </w:p>
        </w:tc>
        <w:tc>
          <w:tcPr>
            <w:tcW w:w="177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46.10</w:t>
            </w:r>
          </w:p>
        </w:tc>
        <w:tc>
          <w:tcPr>
            <w:tcW w:w="177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46.65</w:t>
            </w:r>
          </w:p>
        </w:tc>
        <w:tc>
          <w:tcPr>
            <w:tcW w:w="1772" w:type="dxa"/>
            <w:tcBorders>
              <w:top w:val="nil"/>
              <w:left w:val="nil"/>
              <w:bottom w:val="single" w:sz="4" w:space="0" w:color="000000"/>
              <w:right w:val="single" w:sz="4" w:space="0" w:color="000000"/>
            </w:tcBorders>
            <w:shd w:val="clear" w:color="auto" w:fill="C6EFCE"/>
            <w:vAlign w:val="bottom"/>
          </w:tcPr>
          <w:p w:rsidR="009F06CA" w:rsidRDefault="00D0425F">
            <w:pPr>
              <w:spacing w:after="0" w:line="240" w:lineRule="auto"/>
              <w:jc w:val="center"/>
              <w:rPr>
                <w:color w:val="006100"/>
              </w:rPr>
            </w:pPr>
            <w:r>
              <w:rPr>
                <w:color w:val="006100"/>
              </w:rPr>
              <w:t>46.65</w:t>
            </w:r>
          </w:p>
        </w:tc>
        <w:tc>
          <w:tcPr>
            <w:tcW w:w="992" w:type="dxa"/>
            <w:tcBorders>
              <w:top w:val="nil"/>
              <w:left w:val="nil"/>
              <w:bottom w:val="nil"/>
              <w:right w:val="nil"/>
            </w:tcBorders>
            <w:shd w:val="clear" w:color="auto" w:fill="auto"/>
            <w:vAlign w:val="bottom"/>
          </w:tcPr>
          <w:p w:rsidR="009F06CA" w:rsidRDefault="009F06CA">
            <w:pPr>
              <w:spacing w:after="0" w:line="240" w:lineRule="auto"/>
              <w:jc w:val="center"/>
              <w:rPr>
                <w:color w:val="006100"/>
              </w:rPr>
            </w:pPr>
          </w:p>
        </w:tc>
      </w:tr>
    </w:tbl>
    <w:p w:rsidR="009F06CA" w:rsidRDefault="009F06CA"/>
    <w:p w:rsidR="009F06CA" w:rsidRDefault="00D0425F">
      <w:r>
        <w:t>In this example, a price curve uploaded on September 4th replaces all the price data going forwards, but leaves previous data untouched.</w:t>
      </w:r>
    </w:p>
    <w:p w:rsidR="009F06CA" w:rsidRDefault="00D0425F">
      <w:r>
        <w:t>The same can be seen if a new price curve is uploaded again a few days later:</w:t>
      </w:r>
    </w:p>
    <w:tbl>
      <w:tblPr>
        <w:tblStyle w:val="a6"/>
        <w:tblW w:w="9072" w:type="dxa"/>
        <w:tblLayout w:type="fixed"/>
        <w:tblLook w:val="0400" w:firstRow="0" w:lastRow="0" w:firstColumn="0" w:lastColumn="0" w:noHBand="0" w:noVBand="1"/>
      </w:tblPr>
      <w:tblGrid>
        <w:gridCol w:w="993"/>
        <w:gridCol w:w="1842"/>
        <w:gridCol w:w="1701"/>
        <w:gridCol w:w="1843"/>
        <w:gridCol w:w="1701"/>
        <w:gridCol w:w="992"/>
      </w:tblGrid>
      <w:tr w:rsidR="009F06CA">
        <w:trPr>
          <w:trHeight w:val="9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0070C0"/>
            <w:vAlign w:val="center"/>
          </w:tcPr>
          <w:p w:rsidR="009F06CA" w:rsidRDefault="00D0425F">
            <w:pPr>
              <w:spacing w:after="0" w:line="240" w:lineRule="auto"/>
              <w:jc w:val="center"/>
              <w:rPr>
                <w:b/>
                <w:color w:val="FFFFFF"/>
              </w:rPr>
            </w:pPr>
            <w:r>
              <w:rPr>
                <w:b/>
                <w:color w:val="FFFFFF"/>
              </w:rPr>
              <w:t>Date</w:t>
            </w:r>
          </w:p>
        </w:tc>
        <w:tc>
          <w:tcPr>
            <w:tcW w:w="1701" w:type="dxa"/>
            <w:tcBorders>
              <w:top w:val="single" w:sz="4" w:space="0" w:color="000000"/>
              <w:left w:val="nil"/>
              <w:bottom w:val="single" w:sz="4" w:space="0" w:color="000000"/>
              <w:right w:val="single" w:sz="4" w:space="0" w:color="000000"/>
            </w:tcBorders>
            <w:shd w:val="clear" w:color="auto" w:fill="0070C0"/>
            <w:vAlign w:val="center"/>
          </w:tcPr>
          <w:p w:rsidR="009F06CA" w:rsidRDefault="00D0425F">
            <w:pPr>
              <w:spacing w:after="0" w:line="240" w:lineRule="auto"/>
              <w:jc w:val="center"/>
              <w:rPr>
                <w:b/>
                <w:color w:val="FFFFFF"/>
              </w:rPr>
            </w:pPr>
            <w:r>
              <w:rPr>
                <w:b/>
                <w:color w:val="FFFFFF"/>
              </w:rPr>
              <w:t>ETS price data before upload</w:t>
            </w:r>
          </w:p>
        </w:tc>
        <w:tc>
          <w:tcPr>
            <w:tcW w:w="1843" w:type="dxa"/>
            <w:tcBorders>
              <w:top w:val="single" w:sz="4" w:space="0" w:color="000000"/>
              <w:left w:val="nil"/>
              <w:bottom w:val="single" w:sz="4" w:space="0" w:color="000000"/>
              <w:right w:val="single" w:sz="4" w:space="0" w:color="000000"/>
            </w:tcBorders>
            <w:shd w:val="clear" w:color="auto" w:fill="0070C0"/>
            <w:vAlign w:val="center"/>
          </w:tcPr>
          <w:p w:rsidR="009F06CA" w:rsidRDefault="00D0425F">
            <w:pPr>
              <w:spacing w:after="0" w:line="240" w:lineRule="auto"/>
              <w:jc w:val="center"/>
              <w:rPr>
                <w:b/>
                <w:color w:val="FFFFFF"/>
              </w:rPr>
            </w:pPr>
            <w:r>
              <w:rPr>
                <w:b/>
                <w:color w:val="FFFFFF"/>
              </w:rPr>
              <w:t>Price data file</w:t>
            </w:r>
          </w:p>
        </w:tc>
        <w:tc>
          <w:tcPr>
            <w:tcW w:w="1701" w:type="dxa"/>
            <w:tcBorders>
              <w:top w:val="single" w:sz="4" w:space="0" w:color="000000"/>
              <w:left w:val="nil"/>
              <w:bottom w:val="single" w:sz="4" w:space="0" w:color="000000"/>
              <w:right w:val="single" w:sz="4" w:space="0" w:color="000000"/>
            </w:tcBorders>
            <w:shd w:val="clear" w:color="auto" w:fill="0070C0"/>
            <w:vAlign w:val="center"/>
          </w:tcPr>
          <w:p w:rsidR="009F06CA" w:rsidRDefault="00D0425F">
            <w:pPr>
              <w:spacing w:after="0" w:line="240" w:lineRule="auto"/>
              <w:jc w:val="center"/>
              <w:rPr>
                <w:b/>
                <w:color w:val="FFFFFF"/>
              </w:rPr>
            </w:pPr>
            <w:r>
              <w:rPr>
                <w:b/>
                <w:color w:val="FFFFFF"/>
              </w:rPr>
              <w:t>ETS price data after upload</w:t>
            </w:r>
          </w:p>
        </w:tc>
        <w:tc>
          <w:tcPr>
            <w:tcW w:w="992" w:type="dxa"/>
            <w:tcBorders>
              <w:top w:val="nil"/>
              <w:left w:val="nil"/>
              <w:bottom w:val="nil"/>
              <w:right w:val="nil"/>
            </w:tcBorders>
            <w:shd w:val="clear" w:color="auto" w:fill="auto"/>
            <w:vAlign w:val="bottom"/>
          </w:tcPr>
          <w:p w:rsidR="009F06CA" w:rsidRDefault="009F06CA">
            <w:pPr>
              <w:spacing w:after="0" w:line="240" w:lineRule="auto"/>
              <w:jc w:val="center"/>
              <w:rPr>
                <w:b/>
                <w:color w:val="FFFFFF"/>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842"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01 Sep</w:t>
            </w:r>
          </w:p>
        </w:tc>
        <w:tc>
          <w:tcPr>
            <w:tcW w:w="1701"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45.00</w:t>
            </w:r>
          </w:p>
        </w:tc>
        <w:tc>
          <w:tcPr>
            <w:tcW w:w="1843"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 </w:t>
            </w:r>
          </w:p>
        </w:tc>
        <w:tc>
          <w:tcPr>
            <w:tcW w:w="1701" w:type="dxa"/>
            <w:tcBorders>
              <w:top w:val="nil"/>
              <w:left w:val="nil"/>
              <w:bottom w:val="single" w:sz="4" w:space="0" w:color="000000"/>
              <w:right w:val="single" w:sz="4" w:space="0" w:color="000000"/>
            </w:tcBorders>
            <w:shd w:val="clear" w:color="auto" w:fill="FFC7CE"/>
            <w:vAlign w:val="bottom"/>
          </w:tcPr>
          <w:p w:rsidR="009F06CA" w:rsidRDefault="00D0425F">
            <w:pPr>
              <w:spacing w:after="0" w:line="240" w:lineRule="auto"/>
              <w:jc w:val="center"/>
              <w:rPr>
                <w:color w:val="9C0006"/>
              </w:rPr>
            </w:pPr>
            <w:r>
              <w:rPr>
                <w:color w:val="9C0006"/>
              </w:rPr>
              <w:t>45.00</w:t>
            </w:r>
          </w:p>
        </w:tc>
        <w:tc>
          <w:tcPr>
            <w:tcW w:w="992" w:type="dxa"/>
            <w:tcBorders>
              <w:top w:val="nil"/>
              <w:left w:val="nil"/>
              <w:bottom w:val="nil"/>
              <w:right w:val="nil"/>
            </w:tcBorders>
            <w:shd w:val="clear" w:color="auto" w:fill="auto"/>
            <w:vAlign w:val="bottom"/>
          </w:tcPr>
          <w:p w:rsidR="009F06CA" w:rsidRDefault="009F06CA">
            <w:pPr>
              <w:spacing w:after="0" w:line="240" w:lineRule="auto"/>
              <w:jc w:val="center"/>
              <w:rPr>
                <w:color w:val="9C0006"/>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842"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02 Sep</w:t>
            </w:r>
          </w:p>
        </w:tc>
        <w:tc>
          <w:tcPr>
            <w:tcW w:w="1701"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45.10</w:t>
            </w:r>
          </w:p>
        </w:tc>
        <w:tc>
          <w:tcPr>
            <w:tcW w:w="1843"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 </w:t>
            </w:r>
          </w:p>
        </w:tc>
        <w:tc>
          <w:tcPr>
            <w:tcW w:w="1701" w:type="dxa"/>
            <w:tcBorders>
              <w:top w:val="nil"/>
              <w:left w:val="nil"/>
              <w:bottom w:val="single" w:sz="4" w:space="0" w:color="000000"/>
              <w:right w:val="single" w:sz="4" w:space="0" w:color="000000"/>
            </w:tcBorders>
            <w:shd w:val="clear" w:color="auto" w:fill="FFC7CE"/>
            <w:vAlign w:val="bottom"/>
          </w:tcPr>
          <w:p w:rsidR="009F06CA" w:rsidRDefault="00D0425F">
            <w:pPr>
              <w:spacing w:after="0" w:line="240" w:lineRule="auto"/>
              <w:jc w:val="center"/>
              <w:rPr>
                <w:color w:val="9C0006"/>
              </w:rPr>
            </w:pPr>
            <w:r>
              <w:rPr>
                <w:color w:val="9C0006"/>
              </w:rPr>
              <w:t>45.10</w:t>
            </w:r>
          </w:p>
        </w:tc>
        <w:tc>
          <w:tcPr>
            <w:tcW w:w="992" w:type="dxa"/>
            <w:tcBorders>
              <w:top w:val="nil"/>
              <w:left w:val="nil"/>
              <w:bottom w:val="nil"/>
              <w:right w:val="nil"/>
            </w:tcBorders>
            <w:shd w:val="clear" w:color="auto" w:fill="auto"/>
            <w:vAlign w:val="bottom"/>
          </w:tcPr>
          <w:p w:rsidR="009F06CA" w:rsidRDefault="009F06CA">
            <w:pPr>
              <w:spacing w:after="0" w:line="240" w:lineRule="auto"/>
              <w:jc w:val="center"/>
              <w:rPr>
                <w:color w:val="9C0006"/>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842"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03 Sep</w:t>
            </w:r>
          </w:p>
        </w:tc>
        <w:tc>
          <w:tcPr>
            <w:tcW w:w="1701"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45.20</w:t>
            </w:r>
          </w:p>
        </w:tc>
        <w:tc>
          <w:tcPr>
            <w:tcW w:w="1843"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 </w:t>
            </w:r>
          </w:p>
        </w:tc>
        <w:tc>
          <w:tcPr>
            <w:tcW w:w="1701" w:type="dxa"/>
            <w:tcBorders>
              <w:top w:val="nil"/>
              <w:left w:val="nil"/>
              <w:bottom w:val="single" w:sz="4" w:space="0" w:color="000000"/>
              <w:right w:val="single" w:sz="4" w:space="0" w:color="000000"/>
            </w:tcBorders>
            <w:shd w:val="clear" w:color="auto" w:fill="FFC7CE"/>
            <w:vAlign w:val="bottom"/>
          </w:tcPr>
          <w:p w:rsidR="009F06CA" w:rsidRDefault="00D0425F">
            <w:pPr>
              <w:spacing w:after="0" w:line="240" w:lineRule="auto"/>
              <w:jc w:val="center"/>
              <w:rPr>
                <w:color w:val="9C0006"/>
              </w:rPr>
            </w:pPr>
            <w:r>
              <w:rPr>
                <w:color w:val="9C0006"/>
              </w:rPr>
              <w:t>45.20</w:t>
            </w:r>
          </w:p>
        </w:tc>
        <w:tc>
          <w:tcPr>
            <w:tcW w:w="992" w:type="dxa"/>
            <w:tcBorders>
              <w:top w:val="nil"/>
              <w:left w:val="nil"/>
              <w:bottom w:val="nil"/>
              <w:right w:val="nil"/>
            </w:tcBorders>
            <w:shd w:val="clear" w:color="auto" w:fill="auto"/>
            <w:vAlign w:val="bottom"/>
          </w:tcPr>
          <w:p w:rsidR="009F06CA" w:rsidRDefault="009F06CA">
            <w:pPr>
              <w:spacing w:after="0" w:line="240" w:lineRule="auto"/>
              <w:jc w:val="center"/>
              <w:rPr>
                <w:color w:val="9C0006"/>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842"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04 Sep</w:t>
            </w:r>
          </w:p>
        </w:tc>
        <w:tc>
          <w:tcPr>
            <w:tcW w:w="1701"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45.45</w:t>
            </w:r>
          </w:p>
        </w:tc>
        <w:tc>
          <w:tcPr>
            <w:tcW w:w="1843"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 </w:t>
            </w:r>
          </w:p>
        </w:tc>
        <w:tc>
          <w:tcPr>
            <w:tcW w:w="1701" w:type="dxa"/>
            <w:tcBorders>
              <w:top w:val="nil"/>
              <w:left w:val="nil"/>
              <w:bottom w:val="single" w:sz="4" w:space="0" w:color="000000"/>
              <w:right w:val="single" w:sz="4" w:space="0" w:color="000000"/>
            </w:tcBorders>
            <w:shd w:val="clear" w:color="auto" w:fill="FFC7CE"/>
            <w:vAlign w:val="bottom"/>
          </w:tcPr>
          <w:p w:rsidR="009F06CA" w:rsidRDefault="00D0425F">
            <w:pPr>
              <w:spacing w:after="0" w:line="240" w:lineRule="auto"/>
              <w:jc w:val="center"/>
              <w:rPr>
                <w:color w:val="9C0006"/>
              </w:rPr>
            </w:pPr>
            <w:r>
              <w:rPr>
                <w:color w:val="9C0006"/>
              </w:rPr>
              <w:t>45.45</w:t>
            </w:r>
          </w:p>
        </w:tc>
        <w:tc>
          <w:tcPr>
            <w:tcW w:w="992" w:type="dxa"/>
            <w:tcBorders>
              <w:top w:val="nil"/>
              <w:left w:val="nil"/>
              <w:bottom w:val="nil"/>
              <w:right w:val="nil"/>
            </w:tcBorders>
            <w:shd w:val="clear" w:color="auto" w:fill="auto"/>
            <w:vAlign w:val="bottom"/>
          </w:tcPr>
          <w:p w:rsidR="009F06CA" w:rsidRDefault="009F06CA">
            <w:pPr>
              <w:spacing w:after="0" w:line="240" w:lineRule="auto"/>
              <w:jc w:val="center"/>
              <w:rPr>
                <w:color w:val="9C0006"/>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842"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05 Sep</w:t>
            </w:r>
          </w:p>
        </w:tc>
        <w:tc>
          <w:tcPr>
            <w:tcW w:w="1701"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45.60</w:t>
            </w:r>
          </w:p>
        </w:tc>
        <w:tc>
          <w:tcPr>
            <w:tcW w:w="1843"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 </w:t>
            </w:r>
          </w:p>
        </w:tc>
        <w:tc>
          <w:tcPr>
            <w:tcW w:w="1701" w:type="dxa"/>
            <w:tcBorders>
              <w:top w:val="nil"/>
              <w:left w:val="nil"/>
              <w:bottom w:val="single" w:sz="4" w:space="0" w:color="000000"/>
              <w:right w:val="single" w:sz="4" w:space="0" w:color="000000"/>
            </w:tcBorders>
            <w:shd w:val="clear" w:color="auto" w:fill="FFC7CE"/>
            <w:vAlign w:val="bottom"/>
          </w:tcPr>
          <w:p w:rsidR="009F06CA" w:rsidRDefault="00D0425F">
            <w:pPr>
              <w:spacing w:after="0" w:line="240" w:lineRule="auto"/>
              <w:jc w:val="center"/>
              <w:rPr>
                <w:color w:val="9C0006"/>
              </w:rPr>
            </w:pPr>
            <w:r>
              <w:rPr>
                <w:color w:val="9C0006"/>
              </w:rPr>
              <w:t>45.60</w:t>
            </w:r>
          </w:p>
        </w:tc>
        <w:tc>
          <w:tcPr>
            <w:tcW w:w="992" w:type="dxa"/>
            <w:tcBorders>
              <w:top w:val="nil"/>
              <w:left w:val="nil"/>
              <w:bottom w:val="nil"/>
              <w:right w:val="nil"/>
            </w:tcBorders>
            <w:shd w:val="clear" w:color="auto" w:fill="auto"/>
            <w:vAlign w:val="bottom"/>
          </w:tcPr>
          <w:p w:rsidR="009F06CA" w:rsidRDefault="009F06CA">
            <w:pPr>
              <w:spacing w:after="0" w:line="240" w:lineRule="auto"/>
              <w:jc w:val="center"/>
              <w:rPr>
                <w:color w:val="9C0006"/>
              </w:rPr>
            </w:pPr>
          </w:p>
        </w:tc>
      </w:tr>
      <w:tr w:rsidR="009F06CA">
        <w:trPr>
          <w:trHeight w:val="315"/>
        </w:trPr>
        <w:tc>
          <w:tcPr>
            <w:tcW w:w="993" w:type="dxa"/>
            <w:tcBorders>
              <w:top w:val="nil"/>
              <w:left w:val="nil"/>
              <w:bottom w:val="single" w:sz="12" w:space="0" w:color="000000"/>
              <w:right w:val="nil"/>
            </w:tcBorders>
            <w:shd w:val="clear" w:color="auto" w:fill="auto"/>
            <w:vAlign w:val="bottom"/>
          </w:tcPr>
          <w:p w:rsidR="009F06CA" w:rsidRDefault="00D0425F">
            <w:pPr>
              <w:spacing w:after="0" w:line="240" w:lineRule="auto"/>
              <w:rPr>
                <w:color w:val="000000"/>
              </w:rPr>
            </w:pPr>
            <w:r>
              <w:rPr>
                <w:color w:val="000000"/>
              </w:rPr>
              <w:t> </w:t>
            </w:r>
          </w:p>
        </w:tc>
        <w:tc>
          <w:tcPr>
            <w:tcW w:w="1842" w:type="dxa"/>
            <w:tcBorders>
              <w:top w:val="nil"/>
              <w:left w:val="single" w:sz="4" w:space="0" w:color="000000"/>
              <w:bottom w:val="single" w:sz="12"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06 Sep</w:t>
            </w:r>
          </w:p>
        </w:tc>
        <w:tc>
          <w:tcPr>
            <w:tcW w:w="1701" w:type="dxa"/>
            <w:tcBorders>
              <w:top w:val="nil"/>
              <w:left w:val="nil"/>
              <w:bottom w:val="single" w:sz="12"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45.75</w:t>
            </w:r>
          </w:p>
        </w:tc>
        <w:tc>
          <w:tcPr>
            <w:tcW w:w="1843" w:type="dxa"/>
            <w:tcBorders>
              <w:top w:val="nil"/>
              <w:left w:val="nil"/>
              <w:bottom w:val="single" w:sz="12"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 </w:t>
            </w:r>
          </w:p>
        </w:tc>
        <w:tc>
          <w:tcPr>
            <w:tcW w:w="1701" w:type="dxa"/>
            <w:tcBorders>
              <w:top w:val="nil"/>
              <w:left w:val="nil"/>
              <w:bottom w:val="single" w:sz="12" w:space="0" w:color="000000"/>
              <w:right w:val="single" w:sz="4" w:space="0" w:color="000000"/>
            </w:tcBorders>
            <w:shd w:val="clear" w:color="auto" w:fill="FFC7CE"/>
            <w:vAlign w:val="bottom"/>
          </w:tcPr>
          <w:p w:rsidR="009F06CA" w:rsidRDefault="00D0425F">
            <w:pPr>
              <w:spacing w:after="0" w:line="240" w:lineRule="auto"/>
              <w:jc w:val="center"/>
              <w:rPr>
                <w:color w:val="9C0006"/>
              </w:rPr>
            </w:pPr>
            <w:r>
              <w:rPr>
                <w:color w:val="9C0006"/>
              </w:rPr>
              <w:t>45.75</w:t>
            </w:r>
          </w:p>
        </w:tc>
        <w:tc>
          <w:tcPr>
            <w:tcW w:w="992" w:type="dxa"/>
            <w:tcBorders>
              <w:top w:val="nil"/>
              <w:left w:val="nil"/>
              <w:bottom w:val="single" w:sz="12" w:space="0" w:color="000000"/>
              <w:right w:val="nil"/>
            </w:tcBorders>
            <w:shd w:val="clear" w:color="auto" w:fill="auto"/>
            <w:vAlign w:val="bottom"/>
          </w:tcPr>
          <w:p w:rsidR="009F06CA" w:rsidRDefault="00D0425F">
            <w:pPr>
              <w:spacing w:after="0" w:line="240" w:lineRule="auto"/>
              <w:rPr>
                <w:color w:val="000000"/>
              </w:rPr>
            </w:pPr>
            <w:r>
              <w:rPr>
                <w:color w:val="000000"/>
              </w:rPr>
              <w:t> </w:t>
            </w:r>
          </w:p>
        </w:tc>
      </w:tr>
      <w:tr w:rsidR="009F06CA">
        <w:trPr>
          <w:trHeight w:val="300"/>
        </w:trPr>
        <w:tc>
          <w:tcPr>
            <w:tcW w:w="993" w:type="dxa"/>
            <w:tcBorders>
              <w:top w:val="single" w:sz="12" w:space="0" w:color="000000"/>
              <w:left w:val="nil"/>
              <w:bottom w:val="nil"/>
              <w:right w:val="nil"/>
            </w:tcBorders>
            <w:shd w:val="clear" w:color="auto" w:fill="auto"/>
            <w:vAlign w:val="bottom"/>
          </w:tcPr>
          <w:p w:rsidR="009F06CA" w:rsidRDefault="00D0425F">
            <w:pPr>
              <w:spacing w:after="0" w:line="240" w:lineRule="auto"/>
              <w:rPr>
                <w:b/>
                <w:color w:val="000000"/>
              </w:rPr>
            </w:pPr>
            <w:r>
              <w:rPr>
                <w:b/>
                <w:color w:val="000000"/>
              </w:rPr>
              <w:t>Today &gt;</w:t>
            </w:r>
          </w:p>
        </w:tc>
        <w:tc>
          <w:tcPr>
            <w:tcW w:w="1842" w:type="dxa"/>
            <w:tcBorders>
              <w:top w:val="single" w:sz="12" w:space="0" w:color="000000"/>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07 Sep</w:t>
            </w:r>
          </w:p>
        </w:tc>
        <w:tc>
          <w:tcPr>
            <w:tcW w:w="1701" w:type="dxa"/>
            <w:tcBorders>
              <w:top w:val="single" w:sz="12" w:space="0" w:color="000000"/>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45.90</w:t>
            </w:r>
          </w:p>
        </w:tc>
        <w:tc>
          <w:tcPr>
            <w:tcW w:w="1843" w:type="dxa"/>
            <w:tcBorders>
              <w:top w:val="single" w:sz="12" w:space="0" w:color="000000"/>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46.10</w:t>
            </w:r>
          </w:p>
        </w:tc>
        <w:tc>
          <w:tcPr>
            <w:tcW w:w="1701" w:type="dxa"/>
            <w:tcBorders>
              <w:top w:val="single" w:sz="12" w:space="0" w:color="000000"/>
              <w:left w:val="nil"/>
              <w:bottom w:val="single" w:sz="4" w:space="0" w:color="000000"/>
              <w:right w:val="single" w:sz="4" w:space="0" w:color="000000"/>
            </w:tcBorders>
            <w:shd w:val="clear" w:color="auto" w:fill="C6EFCE"/>
            <w:vAlign w:val="bottom"/>
          </w:tcPr>
          <w:p w:rsidR="009F06CA" w:rsidRDefault="00D0425F">
            <w:pPr>
              <w:spacing w:after="0" w:line="240" w:lineRule="auto"/>
              <w:jc w:val="center"/>
              <w:rPr>
                <w:color w:val="006100"/>
              </w:rPr>
            </w:pPr>
            <w:r>
              <w:rPr>
                <w:color w:val="006100"/>
              </w:rPr>
              <w:t>45.90</w:t>
            </w:r>
          </w:p>
        </w:tc>
        <w:tc>
          <w:tcPr>
            <w:tcW w:w="992" w:type="dxa"/>
            <w:tcBorders>
              <w:top w:val="single" w:sz="12" w:space="0" w:color="000000"/>
              <w:left w:val="nil"/>
              <w:bottom w:val="nil"/>
              <w:right w:val="nil"/>
            </w:tcBorders>
            <w:shd w:val="clear" w:color="auto" w:fill="auto"/>
            <w:vAlign w:val="bottom"/>
          </w:tcPr>
          <w:p w:rsidR="009F06CA" w:rsidRDefault="00D0425F">
            <w:pPr>
              <w:spacing w:after="0" w:line="240" w:lineRule="auto"/>
              <w:rPr>
                <w:b/>
                <w:color w:val="000000"/>
              </w:rPr>
            </w:pPr>
            <w:r>
              <w:rPr>
                <w:b/>
                <w:color w:val="000000"/>
              </w:rPr>
              <w:t>&lt; Today</w:t>
            </w: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b/>
                <w:color w:val="000000"/>
              </w:rPr>
            </w:pPr>
          </w:p>
        </w:tc>
        <w:tc>
          <w:tcPr>
            <w:tcW w:w="1842"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08 Sep</w:t>
            </w:r>
          </w:p>
        </w:tc>
        <w:tc>
          <w:tcPr>
            <w:tcW w:w="1701"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46.05</w:t>
            </w:r>
          </w:p>
        </w:tc>
        <w:tc>
          <w:tcPr>
            <w:tcW w:w="1843"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46.30</w:t>
            </w:r>
          </w:p>
        </w:tc>
        <w:tc>
          <w:tcPr>
            <w:tcW w:w="1701" w:type="dxa"/>
            <w:tcBorders>
              <w:top w:val="nil"/>
              <w:left w:val="nil"/>
              <w:bottom w:val="single" w:sz="4" w:space="0" w:color="000000"/>
              <w:right w:val="single" w:sz="4" w:space="0" w:color="000000"/>
            </w:tcBorders>
            <w:shd w:val="clear" w:color="auto" w:fill="C6EFCE"/>
            <w:vAlign w:val="bottom"/>
          </w:tcPr>
          <w:p w:rsidR="009F06CA" w:rsidRDefault="00D0425F">
            <w:pPr>
              <w:spacing w:after="0" w:line="240" w:lineRule="auto"/>
              <w:jc w:val="center"/>
              <w:rPr>
                <w:color w:val="006100"/>
              </w:rPr>
            </w:pPr>
            <w:r>
              <w:rPr>
                <w:color w:val="006100"/>
              </w:rPr>
              <w:t>46.05</w:t>
            </w:r>
          </w:p>
        </w:tc>
        <w:tc>
          <w:tcPr>
            <w:tcW w:w="992" w:type="dxa"/>
            <w:tcBorders>
              <w:top w:val="nil"/>
              <w:left w:val="nil"/>
              <w:bottom w:val="nil"/>
              <w:right w:val="nil"/>
            </w:tcBorders>
            <w:shd w:val="clear" w:color="auto" w:fill="auto"/>
            <w:vAlign w:val="bottom"/>
          </w:tcPr>
          <w:p w:rsidR="009F06CA" w:rsidRDefault="009F06CA">
            <w:pPr>
              <w:spacing w:after="0" w:line="240" w:lineRule="auto"/>
              <w:jc w:val="center"/>
              <w:rPr>
                <w:color w:val="006100"/>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842"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09 Sep</w:t>
            </w:r>
          </w:p>
        </w:tc>
        <w:tc>
          <w:tcPr>
            <w:tcW w:w="1701"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46.20</w:t>
            </w:r>
          </w:p>
        </w:tc>
        <w:tc>
          <w:tcPr>
            <w:tcW w:w="1843"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46.50</w:t>
            </w:r>
          </w:p>
        </w:tc>
        <w:tc>
          <w:tcPr>
            <w:tcW w:w="1701" w:type="dxa"/>
            <w:tcBorders>
              <w:top w:val="nil"/>
              <w:left w:val="nil"/>
              <w:bottom w:val="single" w:sz="4" w:space="0" w:color="000000"/>
              <w:right w:val="single" w:sz="4" w:space="0" w:color="000000"/>
            </w:tcBorders>
            <w:shd w:val="clear" w:color="auto" w:fill="C6EFCE"/>
            <w:vAlign w:val="bottom"/>
          </w:tcPr>
          <w:p w:rsidR="009F06CA" w:rsidRDefault="00D0425F">
            <w:pPr>
              <w:spacing w:after="0" w:line="240" w:lineRule="auto"/>
              <w:jc w:val="center"/>
              <w:rPr>
                <w:color w:val="006100"/>
              </w:rPr>
            </w:pPr>
            <w:r>
              <w:rPr>
                <w:color w:val="006100"/>
              </w:rPr>
              <w:t>46.20</w:t>
            </w:r>
          </w:p>
        </w:tc>
        <w:tc>
          <w:tcPr>
            <w:tcW w:w="992" w:type="dxa"/>
            <w:tcBorders>
              <w:top w:val="nil"/>
              <w:left w:val="nil"/>
              <w:bottom w:val="nil"/>
              <w:right w:val="nil"/>
            </w:tcBorders>
            <w:shd w:val="clear" w:color="auto" w:fill="auto"/>
            <w:vAlign w:val="bottom"/>
          </w:tcPr>
          <w:p w:rsidR="009F06CA" w:rsidRDefault="009F06CA">
            <w:pPr>
              <w:spacing w:after="0" w:line="240" w:lineRule="auto"/>
              <w:jc w:val="center"/>
              <w:rPr>
                <w:color w:val="006100"/>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842"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10 Sep</w:t>
            </w:r>
          </w:p>
        </w:tc>
        <w:tc>
          <w:tcPr>
            <w:tcW w:w="1701"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46.35</w:t>
            </w:r>
          </w:p>
        </w:tc>
        <w:tc>
          <w:tcPr>
            <w:tcW w:w="1843"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46.70</w:t>
            </w:r>
          </w:p>
        </w:tc>
        <w:tc>
          <w:tcPr>
            <w:tcW w:w="1701" w:type="dxa"/>
            <w:tcBorders>
              <w:top w:val="nil"/>
              <w:left w:val="nil"/>
              <w:bottom w:val="single" w:sz="4" w:space="0" w:color="000000"/>
              <w:right w:val="single" w:sz="4" w:space="0" w:color="000000"/>
            </w:tcBorders>
            <w:shd w:val="clear" w:color="auto" w:fill="C6EFCE"/>
            <w:vAlign w:val="bottom"/>
          </w:tcPr>
          <w:p w:rsidR="009F06CA" w:rsidRDefault="00D0425F">
            <w:pPr>
              <w:spacing w:after="0" w:line="240" w:lineRule="auto"/>
              <w:jc w:val="center"/>
              <w:rPr>
                <w:color w:val="006100"/>
              </w:rPr>
            </w:pPr>
            <w:r>
              <w:rPr>
                <w:color w:val="006100"/>
              </w:rPr>
              <w:t>46.35</w:t>
            </w:r>
          </w:p>
        </w:tc>
        <w:tc>
          <w:tcPr>
            <w:tcW w:w="992" w:type="dxa"/>
            <w:tcBorders>
              <w:top w:val="nil"/>
              <w:left w:val="nil"/>
              <w:bottom w:val="nil"/>
              <w:right w:val="nil"/>
            </w:tcBorders>
            <w:shd w:val="clear" w:color="auto" w:fill="auto"/>
            <w:vAlign w:val="bottom"/>
          </w:tcPr>
          <w:p w:rsidR="009F06CA" w:rsidRDefault="009F06CA">
            <w:pPr>
              <w:spacing w:after="0" w:line="240" w:lineRule="auto"/>
              <w:jc w:val="center"/>
              <w:rPr>
                <w:color w:val="006100"/>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842"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11 Sep</w:t>
            </w:r>
          </w:p>
        </w:tc>
        <w:tc>
          <w:tcPr>
            <w:tcW w:w="1701"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46.50</w:t>
            </w:r>
          </w:p>
        </w:tc>
        <w:tc>
          <w:tcPr>
            <w:tcW w:w="1843"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46.90</w:t>
            </w:r>
          </w:p>
        </w:tc>
        <w:tc>
          <w:tcPr>
            <w:tcW w:w="1701" w:type="dxa"/>
            <w:tcBorders>
              <w:top w:val="nil"/>
              <w:left w:val="nil"/>
              <w:bottom w:val="single" w:sz="4" w:space="0" w:color="000000"/>
              <w:right w:val="single" w:sz="4" w:space="0" w:color="000000"/>
            </w:tcBorders>
            <w:shd w:val="clear" w:color="auto" w:fill="C6EFCE"/>
            <w:vAlign w:val="bottom"/>
          </w:tcPr>
          <w:p w:rsidR="009F06CA" w:rsidRDefault="00D0425F">
            <w:pPr>
              <w:spacing w:after="0" w:line="240" w:lineRule="auto"/>
              <w:jc w:val="center"/>
              <w:rPr>
                <w:color w:val="006100"/>
              </w:rPr>
            </w:pPr>
            <w:r>
              <w:rPr>
                <w:color w:val="006100"/>
              </w:rPr>
              <w:t>46.50</w:t>
            </w:r>
          </w:p>
        </w:tc>
        <w:tc>
          <w:tcPr>
            <w:tcW w:w="992" w:type="dxa"/>
            <w:tcBorders>
              <w:top w:val="nil"/>
              <w:left w:val="nil"/>
              <w:bottom w:val="nil"/>
              <w:right w:val="nil"/>
            </w:tcBorders>
            <w:shd w:val="clear" w:color="auto" w:fill="auto"/>
            <w:vAlign w:val="bottom"/>
          </w:tcPr>
          <w:p w:rsidR="009F06CA" w:rsidRDefault="009F06CA">
            <w:pPr>
              <w:spacing w:after="0" w:line="240" w:lineRule="auto"/>
              <w:jc w:val="center"/>
              <w:rPr>
                <w:color w:val="006100"/>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842"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12 Sep</w:t>
            </w:r>
          </w:p>
        </w:tc>
        <w:tc>
          <w:tcPr>
            <w:tcW w:w="1701"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46.65</w:t>
            </w:r>
          </w:p>
        </w:tc>
        <w:tc>
          <w:tcPr>
            <w:tcW w:w="1843"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47.10</w:t>
            </w:r>
          </w:p>
        </w:tc>
        <w:tc>
          <w:tcPr>
            <w:tcW w:w="1701" w:type="dxa"/>
            <w:tcBorders>
              <w:top w:val="nil"/>
              <w:left w:val="nil"/>
              <w:bottom w:val="single" w:sz="4" w:space="0" w:color="000000"/>
              <w:right w:val="single" w:sz="4" w:space="0" w:color="000000"/>
            </w:tcBorders>
            <w:shd w:val="clear" w:color="auto" w:fill="C6EFCE"/>
            <w:vAlign w:val="bottom"/>
          </w:tcPr>
          <w:p w:rsidR="009F06CA" w:rsidRDefault="00D0425F">
            <w:pPr>
              <w:spacing w:after="0" w:line="240" w:lineRule="auto"/>
              <w:jc w:val="center"/>
              <w:rPr>
                <w:color w:val="006100"/>
              </w:rPr>
            </w:pPr>
            <w:r>
              <w:rPr>
                <w:color w:val="006100"/>
              </w:rPr>
              <w:t>46.65</w:t>
            </w:r>
          </w:p>
        </w:tc>
        <w:tc>
          <w:tcPr>
            <w:tcW w:w="992" w:type="dxa"/>
            <w:tcBorders>
              <w:top w:val="nil"/>
              <w:left w:val="nil"/>
              <w:bottom w:val="nil"/>
              <w:right w:val="nil"/>
            </w:tcBorders>
            <w:shd w:val="clear" w:color="auto" w:fill="auto"/>
            <w:vAlign w:val="bottom"/>
          </w:tcPr>
          <w:p w:rsidR="009F06CA" w:rsidRDefault="009F06CA">
            <w:pPr>
              <w:spacing w:after="0" w:line="240" w:lineRule="auto"/>
              <w:jc w:val="center"/>
              <w:rPr>
                <w:color w:val="006100"/>
              </w:rPr>
            </w:pPr>
          </w:p>
        </w:tc>
      </w:tr>
    </w:tbl>
    <w:p w:rsidR="009F06CA" w:rsidRDefault="00D0425F">
      <w:r>
        <w:t>Note that only the periods that are included in the price file are being updated. Existing data is being retained for any periods not specified; values are not being deleted or zeroed out.</w:t>
      </w:r>
    </w:p>
    <w:p w:rsidR="009F06CA" w:rsidRDefault="00D0425F">
      <w:r>
        <w:t>This is more obvious if a price upload file contains only a single day (for example, to correct an error after the fact):</w:t>
      </w:r>
    </w:p>
    <w:tbl>
      <w:tblPr>
        <w:tblStyle w:val="a7"/>
        <w:tblW w:w="9214" w:type="dxa"/>
        <w:tblLayout w:type="fixed"/>
        <w:tblLook w:val="0400" w:firstRow="0" w:lastRow="0" w:firstColumn="0" w:lastColumn="0" w:noHBand="0" w:noVBand="1"/>
      </w:tblPr>
      <w:tblGrid>
        <w:gridCol w:w="993"/>
        <w:gridCol w:w="1701"/>
        <w:gridCol w:w="1842"/>
        <w:gridCol w:w="1843"/>
        <w:gridCol w:w="1701"/>
        <w:gridCol w:w="1134"/>
      </w:tblGrid>
      <w:tr w:rsidR="009F06CA">
        <w:trPr>
          <w:trHeight w:val="9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0070C0"/>
            <w:vAlign w:val="center"/>
          </w:tcPr>
          <w:p w:rsidR="009F06CA" w:rsidRDefault="00D0425F">
            <w:pPr>
              <w:spacing w:after="0" w:line="240" w:lineRule="auto"/>
              <w:jc w:val="center"/>
              <w:rPr>
                <w:b/>
                <w:color w:val="FFFFFF"/>
              </w:rPr>
            </w:pPr>
            <w:r>
              <w:rPr>
                <w:b/>
                <w:color w:val="FFFFFF"/>
              </w:rPr>
              <w:t>Date</w:t>
            </w:r>
          </w:p>
        </w:tc>
        <w:tc>
          <w:tcPr>
            <w:tcW w:w="1842" w:type="dxa"/>
            <w:tcBorders>
              <w:top w:val="single" w:sz="4" w:space="0" w:color="000000"/>
              <w:left w:val="nil"/>
              <w:bottom w:val="single" w:sz="4" w:space="0" w:color="000000"/>
              <w:right w:val="single" w:sz="4" w:space="0" w:color="000000"/>
            </w:tcBorders>
            <w:shd w:val="clear" w:color="auto" w:fill="0070C0"/>
            <w:vAlign w:val="center"/>
          </w:tcPr>
          <w:p w:rsidR="009F06CA" w:rsidRDefault="00D0425F">
            <w:pPr>
              <w:spacing w:after="0" w:line="240" w:lineRule="auto"/>
              <w:jc w:val="center"/>
              <w:rPr>
                <w:b/>
                <w:color w:val="FFFFFF"/>
              </w:rPr>
            </w:pPr>
            <w:r>
              <w:rPr>
                <w:b/>
                <w:color w:val="FFFFFF"/>
              </w:rPr>
              <w:t>ETS price data before upload</w:t>
            </w:r>
          </w:p>
        </w:tc>
        <w:tc>
          <w:tcPr>
            <w:tcW w:w="1843" w:type="dxa"/>
            <w:tcBorders>
              <w:top w:val="single" w:sz="4" w:space="0" w:color="000000"/>
              <w:left w:val="nil"/>
              <w:bottom w:val="single" w:sz="4" w:space="0" w:color="000000"/>
              <w:right w:val="single" w:sz="4" w:space="0" w:color="000000"/>
            </w:tcBorders>
            <w:shd w:val="clear" w:color="auto" w:fill="0070C0"/>
            <w:vAlign w:val="center"/>
          </w:tcPr>
          <w:p w:rsidR="009F06CA" w:rsidRDefault="00D0425F">
            <w:pPr>
              <w:spacing w:after="0" w:line="240" w:lineRule="auto"/>
              <w:jc w:val="center"/>
              <w:rPr>
                <w:b/>
                <w:color w:val="FFFFFF"/>
              </w:rPr>
            </w:pPr>
            <w:r>
              <w:rPr>
                <w:b/>
                <w:color w:val="FFFFFF"/>
              </w:rPr>
              <w:t>Price data file</w:t>
            </w:r>
          </w:p>
        </w:tc>
        <w:tc>
          <w:tcPr>
            <w:tcW w:w="1701" w:type="dxa"/>
            <w:tcBorders>
              <w:top w:val="single" w:sz="4" w:space="0" w:color="000000"/>
              <w:left w:val="nil"/>
              <w:bottom w:val="single" w:sz="4" w:space="0" w:color="000000"/>
              <w:right w:val="single" w:sz="4" w:space="0" w:color="000000"/>
            </w:tcBorders>
            <w:shd w:val="clear" w:color="auto" w:fill="0070C0"/>
            <w:vAlign w:val="center"/>
          </w:tcPr>
          <w:p w:rsidR="009F06CA" w:rsidRDefault="00D0425F">
            <w:pPr>
              <w:spacing w:after="0" w:line="240" w:lineRule="auto"/>
              <w:jc w:val="center"/>
              <w:rPr>
                <w:b/>
                <w:color w:val="FFFFFF"/>
              </w:rPr>
            </w:pPr>
            <w:r>
              <w:rPr>
                <w:b/>
                <w:color w:val="FFFFFF"/>
              </w:rPr>
              <w:t>ETS price data after upload</w:t>
            </w:r>
          </w:p>
        </w:tc>
        <w:tc>
          <w:tcPr>
            <w:tcW w:w="1134" w:type="dxa"/>
            <w:tcBorders>
              <w:top w:val="nil"/>
              <w:left w:val="nil"/>
              <w:bottom w:val="nil"/>
              <w:right w:val="nil"/>
            </w:tcBorders>
            <w:shd w:val="clear" w:color="auto" w:fill="auto"/>
            <w:vAlign w:val="bottom"/>
          </w:tcPr>
          <w:p w:rsidR="009F06CA" w:rsidRDefault="009F06CA">
            <w:pPr>
              <w:spacing w:after="0" w:line="240" w:lineRule="auto"/>
              <w:jc w:val="center"/>
              <w:rPr>
                <w:b/>
                <w:color w:val="FFFFFF"/>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70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01 Sep</w:t>
            </w:r>
          </w:p>
        </w:tc>
        <w:tc>
          <w:tcPr>
            <w:tcW w:w="184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45.00</w:t>
            </w:r>
          </w:p>
        </w:tc>
        <w:tc>
          <w:tcPr>
            <w:tcW w:w="1843"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 </w:t>
            </w:r>
          </w:p>
        </w:tc>
        <w:tc>
          <w:tcPr>
            <w:tcW w:w="1701" w:type="dxa"/>
            <w:tcBorders>
              <w:top w:val="nil"/>
              <w:left w:val="nil"/>
              <w:bottom w:val="single" w:sz="4" w:space="0" w:color="000000"/>
              <w:right w:val="single" w:sz="4" w:space="0" w:color="000000"/>
            </w:tcBorders>
            <w:shd w:val="clear" w:color="auto" w:fill="FFC7CE"/>
            <w:vAlign w:val="bottom"/>
          </w:tcPr>
          <w:p w:rsidR="009F06CA" w:rsidRDefault="00D0425F">
            <w:pPr>
              <w:spacing w:after="0" w:line="240" w:lineRule="auto"/>
              <w:jc w:val="center"/>
              <w:rPr>
                <w:color w:val="9C0006"/>
              </w:rPr>
            </w:pPr>
            <w:r>
              <w:rPr>
                <w:color w:val="9C0006"/>
              </w:rPr>
              <w:t>45.00</w:t>
            </w:r>
          </w:p>
        </w:tc>
        <w:tc>
          <w:tcPr>
            <w:tcW w:w="1134" w:type="dxa"/>
            <w:tcBorders>
              <w:top w:val="nil"/>
              <w:left w:val="nil"/>
              <w:bottom w:val="nil"/>
              <w:right w:val="nil"/>
            </w:tcBorders>
            <w:shd w:val="clear" w:color="auto" w:fill="auto"/>
            <w:vAlign w:val="bottom"/>
          </w:tcPr>
          <w:p w:rsidR="009F06CA" w:rsidRDefault="009F06CA">
            <w:pPr>
              <w:spacing w:after="0" w:line="240" w:lineRule="auto"/>
              <w:jc w:val="center"/>
              <w:rPr>
                <w:color w:val="9C0006"/>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70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02 Sep</w:t>
            </w:r>
          </w:p>
        </w:tc>
        <w:tc>
          <w:tcPr>
            <w:tcW w:w="184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45.10</w:t>
            </w:r>
          </w:p>
        </w:tc>
        <w:tc>
          <w:tcPr>
            <w:tcW w:w="1843"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 </w:t>
            </w:r>
          </w:p>
        </w:tc>
        <w:tc>
          <w:tcPr>
            <w:tcW w:w="1701" w:type="dxa"/>
            <w:tcBorders>
              <w:top w:val="nil"/>
              <w:left w:val="nil"/>
              <w:bottom w:val="single" w:sz="4" w:space="0" w:color="000000"/>
              <w:right w:val="single" w:sz="4" w:space="0" w:color="000000"/>
            </w:tcBorders>
            <w:shd w:val="clear" w:color="auto" w:fill="FFC7CE"/>
            <w:vAlign w:val="bottom"/>
          </w:tcPr>
          <w:p w:rsidR="009F06CA" w:rsidRDefault="00D0425F">
            <w:pPr>
              <w:spacing w:after="0" w:line="240" w:lineRule="auto"/>
              <w:jc w:val="center"/>
              <w:rPr>
                <w:color w:val="9C0006"/>
              </w:rPr>
            </w:pPr>
            <w:r>
              <w:rPr>
                <w:color w:val="9C0006"/>
              </w:rPr>
              <w:t>45.10</w:t>
            </w:r>
          </w:p>
        </w:tc>
        <w:tc>
          <w:tcPr>
            <w:tcW w:w="1134" w:type="dxa"/>
            <w:tcBorders>
              <w:top w:val="nil"/>
              <w:left w:val="nil"/>
              <w:bottom w:val="nil"/>
              <w:right w:val="nil"/>
            </w:tcBorders>
            <w:shd w:val="clear" w:color="auto" w:fill="auto"/>
            <w:vAlign w:val="bottom"/>
          </w:tcPr>
          <w:p w:rsidR="009F06CA" w:rsidRDefault="009F06CA">
            <w:pPr>
              <w:spacing w:after="0" w:line="240" w:lineRule="auto"/>
              <w:jc w:val="center"/>
              <w:rPr>
                <w:color w:val="9C0006"/>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70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03 Sep</w:t>
            </w:r>
          </w:p>
        </w:tc>
        <w:tc>
          <w:tcPr>
            <w:tcW w:w="184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45.20</w:t>
            </w:r>
          </w:p>
        </w:tc>
        <w:tc>
          <w:tcPr>
            <w:tcW w:w="1843"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45.30</w:t>
            </w:r>
          </w:p>
        </w:tc>
        <w:tc>
          <w:tcPr>
            <w:tcW w:w="1701" w:type="dxa"/>
            <w:tcBorders>
              <w:top w:val="nil"/>
              <w:left w:val="nil"/>
              <w:bottom w:val="single" w:sz="4" w:space="0" w:color="000000"/>
              <w:right w:val="single" w:sz="4" w:space="0" w:color="000000"/>
            </w:tcBorders>
            <w:shd w:val="clear" w:color="auto" w:fill="C6EFCE"/>
            <w:vAlign w:val="bottom"/>
          </w:tcPr>
          <w:p w:rsidR="009F06CA" w:rsidRDefault="00D0425F">
            <w:pPr>
              <w:spacing w:after="0" w:line="240" w:lineRule="auto"/>
              <w:jc w:val="center"/>
              <w:rPr>
                <w:color w:val="006100"/>
              </w:rPr>
            </w:pPr>
            <w:r>
              <w:rPr>
                <w:color w:val="006100"/>
              </w:rPr>
              <w:t>45.30</w:t>
            </w:r>
          </w:p>
        </w:tc>
        <w:tc>
          <w:tcPr>
            <w:tcW w:w="1134" w:type="dxa"/>
            <w:tcBorders>
              <w:top w:val="nil"/>
              <w:left w:val="nil"/>
              <w:bottom w:val="nil"/>
              <w:right w:val="nil"/>
            </w:tcBorders>
            <w:shd w:val="clear" w:color="auto" w:fill="auto"/>
            <w:vAlign w:val="bottom"/>
          </w:tcPr>
          <w:p w:rsidR="009F06CA" w:rsidRDefault="009F06CA">
            <w:pPr>
              <w:spacing w:after="0" w:line="240" w:lineRule="auto"/>
              <w:jc w:val="center"/>
              <w:rPr>
                <w:color w:val="006100"/>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70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04 Sep</w:t>
            </w:r>
          </w:p>
        </w:tc>
        <w:tc>
          <w:tcPr>
            <w:tcW w:w="184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45.45</w:t>
            </w:r>
          </w:p>
        </w:tc>
        <w:tc>
          <w:tcPr>
            <w:tcW w:w="1843"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 </w:t>
            </w:r>
          </w:p>
        </w:tc>
        <w:tc>
          <w:tcPr>
            <w:tcW w:w="1701" w:type="dxa"/>
            <w:tcBorders>
              <w:top w:val="nil"/>
              <w:left w:val="nil"/>
              <w:bottom w:val="single" w:sz="4" w:space="0" w:color="000000"/>
              <w:right w:val="single" w:sz="4" w:space="0" w:color="000000"/>
            </w:tcBorders>
            <w:shd w:val="clear" w:color="auto" w:fill="FFC7CE"/>
            <w:vAlign w:val="bottom"/>
          </w:tcPr>
          <w:p w:rsidR="009F06CA" w:rsidRDefault="00D0425F">
            <w:pPr>
              <w:spacing w:after="0" w:line="240" w:lineRule="auto"/>
              <w:jc w:val="center"/>
              <w:rPr>
                <w:color w:val="9C0006"/>
              </w:rPr>
            </w:pPr>
            <w:r>
              <w:rPr>
                <w:color w:val="9C0006"/>
              </w:rPr>
              <w:t>45.45</w:t>
            </w:r>
          </w:p>
        </w:tc>
        <w:tc>
          <w:tcPr>
            <w:tcW w:w="1134" w:type="dxa"/>
            <w:tcBorders>
              <w:top w:val="nil"/>
              <w:left w:val="nil"/>
              <w:bottom w:val="nil"/>
              <w:right w:val="nil"/>
            </w:tcBorders>
            <w:shd w:val="clear" w:color="auto" w:fill="auto"/>
            <w:vAlign w:val="bottom"/>
          </w:tcPr>
          <w:p w:rsidR="009F06CA" w:rsidRDefault="009F06CA">
            <w:pPr>
              <w:spacing w:after="0" w:line="240" w:lineRule="auto"/>
              <w:jc w:val="center"/>
              <w:rPr>
                <w:color w:val="9C0006"/>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70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05 Sep</w:t>
            </w:r>
          </w:p>
        </w:tc>
        <w:tc>
          <w:tcPr>
            <w:tcW w:w="184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45.60</w:t>
            </w:r>
          </w:p>
        </w:tc>
        <w:tc>
          <w:tcPr>
            <w:tcW w:w="1843"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 </w:t>
            </w:r>
          </w:p>
        </w:tc>
        <w:tc>
          <w:tcPr>
            <w:tcW w:w="1701" w:type="dxa"/>
            <w:tcBorders>
              <w:top w:val="nil"/>
              <w:left w:val="nil"/>
              <w:bottom w:val="single" w:sz="4" w:space="0" w:color="000000"/>
              <w:right w:val="single" w:sz="4" w:space="0" w:color="000000"/>
            </w:tcBorders>
            <w:shd w:val="clear" w:color="auto" w:fill="FFC7CE"/>
            <w:vAlign w:val="bottom"/>
          </w:tcPr>
          <w:p w:rsidR="009F06CA" w:rsidRDefault="00D0425F">
            <w:pPr>
              <w:spacing w:after="0" w:line="240" w:lineRule="auto"/>
              <w:jc w:val="center"/>
              <w:rPr>
                <w:color w:val="9C0006"/>
              </w:rPr>
            </w:pPr>
            <w:r>
              <w:rPr>
                <w:color w:val="9C0006"/>
              </w:rPr>
              <w:t>45.60</w:t>
            </w:r>
          </w:p>
        </w:tc>
        <w:tc>
          <w:tcPr>
            <w:tcW w:w="1134" w:type="dxa"/>
            <w:tcBorders>
              <w:top w:val="nil"/>
              <w:left w:val="nil"/>
              <w:bottom w:val="nil"/>
              <w:right w:val="nil"/>
            </w:tcBorders>
            <w:shd w:val="clear" w:color="auto" w:fill="auto"/>
            <w:vAlign w:val="bottom"/>
          </w:tcPr>
          <w:p w:rsidR="009F06CA" w:rsidRDefault="009F06CA">
            <w:pPr>
              <w:spacing w:after="0" w:line="240" w:lineRule="auto"/>
              <w:jc w:val="center"/>
              <w:rPr>
                <w:color w:val="9C0006"/>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70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06 Sep</w:t>
            </w:r>
          </w:p>
        </w:tc>
        <w:tc>
          <w:tcPr>
            <w:tcW w:w="184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45.75</w:t>
            </w:r>
          </w:p>
        </w:tc>
        <w:tc>
          <w:tcPr>
            <w:tcW w:w="1843"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 </w:t>
            </w:r>
          </w:p>
        </w:tc>
        <w:tc>
          <w:tcPr>
            <w:tcW w:w="1701" w:type="dxa"/>
            <w:tcBorders>
              <w:top w:val="nil"/>
              <w:left w:val="nil"/>
              <w:bottom w:val="single" w:sz="4" w:space="0" w:color="000000"/>
              <w:right w:val="single" w:sz="4" w:space="0" w:color="000000"/>
            </w:tcBorders>
            <w:shd w:val="clear" w:color="auto" w:fill="FFC7CE"/>
            <w:vAlign w:val="bottom"/>
          </w:tcPr>
          <w:p w:rsidR="009F06CA" w:rsidRDefault="00D0425F">
            <w:pPr>
              <w:spacing w:after="0" w:line="240" w:lineRule="auto"/>
              <w:jc w:val="center"/>
              <w:rPr>
                <w:color w:val="9C0006"/>
              </w:rPr>
            </w:pPr>
            <w:r>
              <w:rPr>
                <w:color w:val="9C0006"/>
              </w:rPr>
              <w:t>45.75</w:t>
            </w:r>
          </w:p>
        </w:tc>
        <w:tc>
          <w:tcPr>
            <w:tcW w:w="1134" w:type="dxa"/>
            <w:tcBorders>
              <w:top w:val="nil"/>
              <w:left w:val="nil"/>
              <w:bottom w:val="nil"/>
              <w:right w:val="nil"/>
            </w:tcBorders>
            <w:shd w:val="clear" w:color="auto" w:fill="auto"/>
            <w:vAlign w:val="bottom"/>
          </w:tcPr>
          <w:p w:rsidR="009F06CA" w:rsidRDefault="009F06CA">
            <w:pPr>
              <w:spacing w:after="0" w:line="240" w:lineRule="auto"/>
              <w:jc w:val="center"/>
              <w:rPr>
                <w:color w:val="9C0006"/>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70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07 Sep</w:t>
            </w:r>
          </w:p>
        </w:tc>
        <w:tc>
          <w:tcPr>
            <w:tcW w:w="184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45.90</w:t>
            </w:r>
          </w:p>
        </w:tc>
        <w:tc>
          <w:tcPr>
            <w:tcW w:w="1843"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 </w:t>
            </w:r>
          </w:p>
        </w:tc>
        <w:tc>
          <w:tcPr>
            <w:tcW w:w="1701" w:type="dxa"/>
            <w:tcBorders>
              <w:top w:val="nil"/>
              <w:left w:val="nil"/>
              <w:bottom w:val="single" w:sz="4" w:space="0" w:color="000000"/>
              <w:right w:val="single" w:sz="4" w:space="0" w:color="000000"/>
            </w:tcBorders>
            <w:shd w:val="clear" w:color="auto" w:fill="FFC7CE"/>
            <w:vAlign w:val="bottom"/>
          </w:tcPr>
          <w:p w:rsidR="009F06CA" w:rsidRDefault="00D0425F">
            <w:pPr>
              <w:spacing w:after="0" w:line="240" w:lineRule="auto"/>
              <w:jc w:val="center"/>
              <w:rPr>
                <w:color w:val="9C0006"/>
              </w:rPr>
            </w:pPr>
            <w:r>
              <w:rPr>
                <w:color w:val="9C0006"/>
              </w:rPr>
              <w:t>45.90</w:t>
            </w:r>
          </w:p>
        </w:tc>
        <w:tc>
          <w:tcPr>
            <w:tcW w:w="1134" w:type="dxa"/>
            <w:tcBorders>
              <w:top w:val="nil"/>
              <w:left w:val="nil"/>
              <w:bottom w:val="nil"/>
              <w:right w:val="nil"/>
            </w:tcBorders>
            <w:shd w:val="clear" w:color="auto" w:fill="auto"/>
            <w:vAlign w:val="bottom"/>
          </w:tcPr>
          <w:p w:rsidR="009F06CA" w:rsidRDefault="009F06CA">
            <w:pPr>
              <w:spacing w:after="0" w:line="240" w:lineRule="auto"/>
              <w:jc w:val="center"/>
              <w:rPr>
                <w:color w:val="9C0006"/>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70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08 Sep</w:t>
            </w:r>
          </w:p>
        </w:tc>
        <w:tc>
          <w:tcPr>
            <w:tcW w:w="184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46.05</w:t>
            </w:r>
          </w:p>
        </w:tc>
        <w:tc>
          <w:tcPr>
            <w:tcW w:w="1843"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 </w:t>
            </w:r>
          </w:p>
        </w:tc>
        <w:tc>
          <w:tcPr>
            <w:tcW w:w="1701" w:type="dxa"/>
            <w:tcBorders>
              <w:top w:val="nil"/>
              <w:left w:val="nil"/>
              <w:bottom w:val="single" w:sz="4" w:space="0" w:color="000000"/>
              <w:right w:val="single" w:sz="4" w:space="0" w:color="000000"/>
            </w:tcBorders>
            <w:shd w:val="clear" w:color="auto" w:fill="FFC7CE"/>
            <w:vAlign w:val="bottom"/>
          </w:tcPr>
          <w:p w:rsidR="009F06CA" w:rsidRDefault="00D0425F">
            <w:pPr>
              <w:spacing w:after="0" w:line="240" w:lineRule="auto"/>
              <w:jc w:val="center"/>
              <w:rPr>
                <w:color w:val="9C0006"/>
              </w:rPr>
            </w:pPr>
            <w:r>
              <w:rPr>
                <w:color w:val="9C0006"/>
              </w:rPr>
              <w:t>46.05</w:t>
            </w:r>
          </w:p>
        </w:tc>
        <w:tc>
          <w:tcPr>
            <w:tcW w:w="1134" w:type="dxa"/>
            <w:tcBorders>
              <w:top w:val="nil"/>
              <w:left w:val="nil"/>
              <w:bottom w:val="nil"/>
              <w:right w:val="nil"/>
            </w:tcBorders>
            <w:shd w:val="clear" w:color="auto" w:fill="auto"/>
            <w:vAlign w:val="bottom"/>
          </w:tcPr>
          <w:p w:rsidR="009F06CA" w:rsidRDefault="009F06CA">
            <w:pPr>
              <w:spacing w:after="0" w:line="240" w:lineRule="auto"/>
              <w:jc w:val="center"/>
              <w:rPr>
                <w:color w:val="9C0006"/>
              </w:rPr>
            </w:pPr>
          </w:p>
        </w:tc>
      </w:tr>
      <w:tr w:rsidR="009F06CA">
        <w:trPr>
          <w:trHeight w:val="315"/>
        </w:trPr>
        <w:tc>
          <w:tcPr>
            <w:tcW w:w="993" w:type="dxa"/>
            <w:tcBorders>
              <w:top w:val="nil"/>
              <w:left w:val="nil"/>
              <w:bottom w:val="single" w:sz="12" w:space="0" w:color="000000"/>
              <w:right w:val="nil"/>
            </w:tcBorders>
            <w:shd w:val="clear" w:color="auto" w:fill="auto"/>
            <w:vAlign w:val="bottom"/>
          </w:tcPr>
          <w:p w:rsidR="009F06CA" w:rsidRDefault="00D0425F">
            <w:pPr>
              <w:spacing w:after="0" w:line="240" w:lineRule="auto"/>
              <w:rPr>
                <w:color w:val="000000"/>
              </w:rPr>
            </w:pPr>
            <w:r>
              <w:rPr>
                <w:color w:val="000000"/>
              </w:rPr>
              <w:t> </w:t>
            </w:r>
          </w:p>
        </w:tc>
        <w:tc>
          <w:tcPr>
            <w:tcW w:w="1701" w:type="dxa"/>
            <w:tcBorders>
              <w:top w:val="nil"/>
              <w:left w:val="single" w:sz="4" w:space="0" w:color="000000"/>
              <w:bottom w:val="single" w:sz="12"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09 Sep</w:t>
            </w:r>
          </w:p>
        </w:tc>
        <w:tc>
          <w:tcPr>
            <w:tcW w:w="1842" w:type="dxa"/>
            <w:tcBorders>
              <w:top w:val="nil"/>
              <w:left w:val="nil"/>
              <w:bottom w:val="single" w:sz="12"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46.20</w:t>
            </w:r>
          </w:p>
        </w:tc>
        <w:tc>
          <w:tcPr>
            <w:tcW w:w="1843" w:type="dxa"/>
            <w:tcBorders>
              <w:top w:val="nil"/>
              <w:left w:val="nil"/>
              <w:bottom w:val="single" w:sz="12"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 </w:t>
            </w:r>
          </w:p>
        </w:tc>
        <w:tc>
          <w:tcPr>
            <w:tcW w:w="1701" w:type="dxa"/>
            <w:tcBorders>
              <w:top w:val="nil"/>
              <w:left w:val="nil"/>
              <w:bottom w:val="single" w:sz="12" w:space="0" w:color="000000"/>
              <w:right w:val="single" w:sz="4" w:space="0" w:color="000000"/>
            </w:tcBorders>
            <w:shd w:val="clear" w:color="auto" w:fill="FFC7CE"/>
            <w:vAlign w:val="bottom"/>
          </w:tcPr>
          <w:p w:rsidR="009F06CA" w:rsidRDefault="00D0425F">
            <w:pPr>
              <w:spacing w:after="0" w:line="240" w:lineRule="auto"/>
              <w:jc w:val="center"/>
              <w:rPr>
                <w:color w:val="9C0006"/>
              </w:rPr>
            </w:pPr>
            <w:r>
              <w:rPr>
                <w:color w:val="9C0006"/>
              </w:rPr>
              <w:t>46.20</w:t>
            </w:r>
          </w:p>
        </w:tc>
        <w:tc>
          <w:tcPr>
            <w:tcW w:w="1134" w:type="dxa"/>
            <w:tcBorders>
              <w:top w:val="nil"/>
              <w:left w:val="nil"/>
              <w:bottom w:val="single" w:sz="12" w:space="0" w:color="000000"/>
              <w:right w:val="nil"/>
            </w:tcBorders>
            <w:shd w:val="clear" w:color="auto" w:fill="auto"/>
            <w:vAlign w:val="bottom"/>
          </w:tcPr>
          <w:p w:rsidR="009F06CA" w:rsidRDefault="00D0425F">
            <w:pPr>
              <w:spacing w:after="0" w:line="240" w:lineRule="auto"/>
              <w:rPr>
                <w:color w:val="000000"/>
              </w:rPr>
            </w:pPr>
            <w:r>
              <w:rPr>
                <w:color w:val="000000"/>
              </w:rPr>
              <w:t> </w:t>
            </w:r>
          </w:p>
        </w:tc>
      </w:tr>
      <w:tr w:rsidR="009F06CA">
        <w:trPr>
          <w:trHeight w:val="300"/>
        </w:trPr>
        <w:tc>
          <w:tcPr>
            <w:tcW w:w="993" w:type="dxa"/>
            <w:tcBorders>
              <w:top w:val="single" w:sz="12" w:space="0" w:color="000000"/>
              <w:left w:val="nil"/>
              <w:bottom w:val="nil"/>
              <w:right w:val="nil"/>
            </w:tcBorders>
            <w:shd w:val="clear" w:color="auto" w:fill="auto"/>
            <w:vAlign w:val="bottom"/>
          </w:tcPr>
          <w:p w:rsidR="009F06CA" w:rsidRDefault="00D0425F">
            <w:pPr>
              <w:spacing w:after="0" w:line="240" w:lineRule="auto"/>
              <w:rPr>
                <w:b/>
                <w:color w:val="000000"/>
              </w:rPr>
            </w:pPr>
            <w:r>
              <w:rPr>
                <w:b/>
                <w:color w:val="000000"/>
              </w:rPr>
              <w:t>Today &gt;</w:t>
            </w:r>
          </w:p>
        </w:tc>
        <w:tc>
          <w:tcPr>
            <w:tcW w:w="1701" w:type="dxa"/>
            <w:tcBorders>
              <w:top w:val="single" w:sz="12" w:space="0" w:color="000000"/>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10 Sep</w:t>
            </w:r>
          </w:p>
        </w:tc>
        <w:tc>
          <w:tcPr>
            <w:tcW w:w="1842" w:type="dxa"/>
            <w:tcBorders>
              <w:top w:val="single" w:sz="12" w:space="0" w:color="000000"/>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46.35</w:t>
            </w:r>
          </w:p>
        </w:tc>
        <w:tc>
          <w:tcPr>
            <w:tcW w:w="1843" w:type="dxa"/>
            <w:tcBorders>
              <w:top w:val="single" w:sz="12" w:space="0" w:color="000000"/>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 </w:t>
            </w:r>
          </w:p>
        </w:tc>
        <w:tc>
          <w:tcPr>
            <w:tcW w:w="1701" w:type="dxa"/>
            <w:tcBorders>
              <w:top w:val="single" w:sz="12" w:space="0" w:color="000000"/>
              <w:left w:val="nil"/>
              <w:bottom w:val="single" w:sz="4" w:space="0" w:color="000000"/>
              <w:right w:val="single" w:sz="4" w:space="0" w:color="000000"/>
            </w:tcBorders>
            <w:shd w:val="clear" w:color="auto" w:fill="FFC7CE"/>
            <w:vAlign w:val="bottom"/>
          </w:tcPr>
          <w:p w:rsidR="009F06CA" w:rsidRDefault="00D0425F">
            <w:pPr>
              <w:spacing w:after="0" w:line="240" w:lineRule="auto"/>
              <w:jc w:val="center"/>
              <w:rPr>
                <w:color w:val="9C0006"/>
              </w:rPr>
            </w:pPr>
            <w:r>
              <w:rPr>
                <w:color w:val="9C0006"/>
              </w:rPr>
              <w:t>46.35</w:t>
            </w:r>
          </w:p>
        </w:tc>
        <w:tc>
          <w:tcPr>
            <w:tcW w:w="1134" w:type="dxa"/>
            <w:tcBorders>
              <w:top w:val="single" w:sz="12" w:space="0" w:color="000000"/>
              <w:left w:val="nil"/>
              <w:bottom w:val="nil"/>
              <w:right w:val="nil"/>
            </w:tcBorders>
            <w:shd w:val="clear" w:color="auto" w:fill="auto"/>
            <w:vAlign w:val="bottom"/>
          </w:tcPr>
          <w:p w:rsidR="009F06CA" w:rsidRDefault="00D0425F">
            <w:pPr>
              <w:spacing w:after="0" w:line="240" w:lineRule="auto"/>
              <w:rPr>
                <w:b/>
                <w:color w:val="000000"/>
              </w:rPr>
            </w:pPr>
            <w:r>
              <w:rPr>
                <w:b/>
                <w:color w:val="000000"/>
              </w:rPr>
              <w:t>&lt; Today</w:t>
            </w: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b/>
                <w:color w:val="000000"/>
              </w:rPr>
            </w:pPr>
          </w:p>
        </w:tc>
        <w:tc>
          <w:tcPr>
            <w:tcW w:w="170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11 Sep</w:t>
            </w:r>
          </w:p>
        </w:tc>
        <w:tc>
          <w:tcPr>
            <w:tcW w:w="184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46.50</w:t>
            </w:r>
          </w:p>
        </w:tc>
        <w:tc>
          <w:tcPr>
            <w:tcW w:w="1843"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 </w:t>
            </w:r>
          </w:p>
        </w:tc>
        <w:tc>
          <w:tcPr>
            <w:tcW w:w="1701" w:type="dxa"/>
            <w:tcBorders>
              <w:top w:val="nil"/>
              <w:left w:val="nil"/>
              <w:bottom w:val="single" w:sz="4" w:space="0" w:color="000000"/>
              <w:right w:val="single" w:sz="4" w:space="0" w:color="000000"/>
            </w:tcBorders>
            <w:shd w:val="clear" w:color="auto" w:fill="FFC7CE"/>
            <w:vAlign w:val="bottom"/>
          </w:tcPr>
          <w:p w:rsidR="009F06CA" w:rsidRDefault="00D0425F">
            <w:pPr>
              <w:spacing w:after="0" w:line="240" w:lineRule="auto"/>
              <w:jc w:val="center"/>
              <w:rPr>
                <w:color w:val="9C0006"/>
              </w:rPr>
            </w:pPr>
            <w:r>
              <w:rPr>
                <w:color w:val="9C0006"/>
              </w:rPr>
              <w:t>46.50</w:t>
            </w:r>
          </w:p>
        </w:tc>
        <w:tc>
          <w:tcPr>
            <w:tcW w:w="1134" w:type="dxa"/>
            <w:tcBorders>
              <w:top w:val="nil"/>
              <w:left w:val="nil"/>
              <w:bottom w:val="nil"/>
              <w:right w:val="nil"/>
            </w:tcBorders>
            <w:shd w:val="clear" w:color="auto" w:fill="auto"/>
            <w:vAlign w:val="bottom"/>
          </w:tcPr>
          <w:p w:rsidR="009F06CA" w:rsidRDefault="009F06CA">
            <w:pPr>
              <w:spacing w:after="0" w:line="240" w:lineRule="auto"/>
              <w:jc w:val="center"/>
              <w:rPr>
                <w:color w:val="9C0006"/>
              </w:rPr>
            </w:pPr>
          </w:p>
        </w:tc>
      </w:tr>
      <w:tr w:rsidR="009F06CA">
        <w:trPr>
          <w:trHeight w:val="300"/>
        </w:trPr>
        <w:tc>
          <w:tcPr>
            <w:tcW w:w="993" w:type="dxa"/>
            <w:tcBorders>
              <w:top w:val="nil"/>
              <w:left w:val="nil"/>
              <w:bottom w:val="nil"/>
              <w:right w:val="nil"/>
            </w:tcBorders>
            <w:shd w:val="clear" w:color="auto" w:fill="auto"/>
            <w:vAlign w:val="bottom"/>
          </w:tcPr>
          <w:p w:rsidR="009F06CA" w:rsidRDefault="009F06CA">
            <w:pPr>
              <w:spacing w:after="0" w:line="240" w:lineRule="auto"/>
              <w:rPr>
                <w:rFonts w:ascii="Times New Roman" w:eastAsia="Times New Roman" w:hAnsi="Times New Roman" w:cs="Times New Roman"/>
                <w:sz w:val="20"/>
                <w:szCs w:val="20"/>
              </w:rPr>
            </w:pPr>
          </w:p>
        </w:tc>
        <w:tc>
          <w:tcPr>
            <w:tcW w:w="1701" w:type="dxa"/>
            <w:tcBorders>
              <w:top w:val="nil"/>
              <w:left w:val="single" w:sz="4" w:space="0" w:color="000000"/>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12 Sep</w:t>
            </w:r>
          </w:p>
        </w:tc>
        <w:tc>
          <w:tcPr>
            <w:tcW w:w="1842"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46.65</w:t>
            </w:r>
          </w:p>
        </w:tc>
        <w:tc>
          <w:tcPr>
            <w:tcW w:w="1843" w:type="dxa"/>
            <w:tcBorders>
              <w:top w:val="nil"/>
              <w:left w:val="nil"/>
              <w:bottom w:val="single" w:sz="4" w:space="0" w:color="000000"/>
              <w:right w:val="single" w:sz="4" w:space="0" w:color="000000"/>
            </w:tcBorders>
            <w:shd w:val="clear" w:color="auto" w:fill="auto"/>
            <w:vAlign w:val="bottom"/>
          </w:tcPr>
          <w:p w:rsidR="009F06CA" w:rsidRDefault="00D0425F">
            <w:pPr>
              <w:spacing w:after="0" w:line="240" w:lineRule="auto"/>
              <w:jc w:val="center"/>
              <w:rPr>
                <w:color w:val="000000"/>
              </w:rPr>
            </w:pPr>
            <w:r>
              <w:rPr>
                <w:color w:val="000000"/>
              </w:rPr>
              <w:t> </w:t>
            </w:r>
          </w:p>
        </w:tc>
        <w:tc>
          <w:tcPr>
            <w:tcW w:w="1701" w:type="dxa"/>
            <w:tcBorders>
              <w:top w:val="nil"/>
              <w:left w:val="nil"/>
              <w:bottom w:val="single" w:sz="4" w:space="0" w:color="000000"/>
              <w:right w:val="single" w:sz="4" w:space="0" w:color="000000"/>
            </w:tcBorders>
            <w:shd w:val="clear" w:color="auto" w:fill="FFC7CE"/>
            <w:vAlign w:val="bottom"/>
          </w:tcPr>
          <w:p w:rsidR="009F06CA" w:rsidRDefault="00D0425F">
            <w:pPr>
              <w:spacing w:after="0" w:line="240" w:lineRule="auto"/>
              <w:jc w:val="center"/>
              <w:rPr>
                <w:color w:val="9C0006"/>
              </w:rPr>
            </w:pPr>
            <w:r>
              <w:rPr>
                <w:color w:val="9C0006"/>
              </w:rPr>
              <w:t>46.65</w:t>
            </w:r>
          </w:p>
        </w:tc>
        <w:tc>
          <w:tcPr>
            <w:tcW w:w="1134" w:type="dxa"/>
            <w:tcBorders>
              <w:top w:val="nil"/>
              <w:left w:val="nil"/>
              <w:bottom w:val="nil"/>
              <w:right w:val="nil"/>
            </w:tcBorders>
            <w:shd w:val="clear" w:color="auto" w:fill="auto"/>
            <w:vAlign w:val="bottom"/>
          </w:tcPr>
          <w:p w:rsidR="009F06CA" w:rsidRDefault="009F06CA">
            <w:pPr>
              <w:spacing w:after="0" w:line="240" w:lineRule="auto"/>
              <w:jc w:val="center"/>
              <w:rPr>
                <w:color w:val="9C0006"/>
              </w:rPr>
            </w:pPr>
          </w:p>
        </w:tc>
      </w:tr>
    </w:tbl>
    <w:p w:rsidR="009F06CA" w:rsidRDefault="00D0425F">
      <w:pPr>
        <w:pStyle w:val="Heading1"/>
      </w:pPr>
      <w:bookmarkStart w:id="34" w:name="_4i7ojhp" w:colFirst="0" w:colLast="0"/>
      <w:bookmarkEnd w:id="34"/>
      <w:r>
        <w:br w:type="page"/>
      </w:r>
    </w:p>
    <w:p w:rsidR="009F06CA" w:rsidRDefault="00D0425F">
      <w:pPr>
        <w:pStyle w:val="Heading1"/>
      </w:pPr>
      <w:bookmarkStart w:id="35" w:name="_1fohhxvlul01" w:colFirst="0" w:colLast="0"/>
      <w:bookmarkEnd w:id="35"/>
      <w:r>
        <w:lastRenderedPageBreak/>
        <w:t>Appendix 2: Sample power and gas query outputs</w:t>
      </w:r>
    </w:p>
    <w:p w:rsidR="009F06CA" w:rsidRDefault="00D0425F">
      <w:r>
        <w:t>The data in the ETS can be extracted using SQL queries. Currently CCS have queries set up to provide data for Excel based risk reports.</w:t>
      </w:r>
    </w:p>
    <w:p w:rsidR="009F06CA" w:rsidRDefault="00D0425F">
      <w:pPr>
        <w:rPr>
          <w:highlight w:val="yellow"/>
        </w:rPr>
      </w:pPr>
      <w:r>
        <w:t>Example files demonstrating the output of the SQL queries can be found in Attachment 10 with this document. The column headers are exactly as they are in the live query files, and they have been populated with dummy data to illustrate the contents.</w:t>
      </w:r>
    </w:p>
    <w:p w:rsidR="009F06CA" w:rsidRDefault="00D0425F">
      <w:pPr>
        <w:rPr>
          <w:b/>
          <w:u w:val="single"/>
        </w:rPr>
      </w:pPr>
      <w:r>
        <w:rPr>
          <w:b/>
          <w:u w:val="single"/>
        </w:rPr>
        <w:t>Positio</w:t>
      </w:r>
      <w:r>
        <w:rPr>
          <w:b/>
          <w:u w:val="single"/>
        </w:rPr>
        <w:t>n queries</w:t>
      </w:r>
    </w:p>
    <w:p w:rsidR="009F06CA" w:rsidRDefault="00D0425F">
      <w:r>
        <w:t xml:space="preserve">In general, the power and gas position queries are similar. Each column contains a specific data point relating to a basket (for example, the basket’s name, the volume required, or the value of trades completed.) </w:t>
      </w:r>
    </w:p>
    <w:p w:rsidR="009F06CA" w:rsidRDefault="00D0425F">
      <w:r>
        <w:t>Each row contains the data for o</w:t>
      </w:r>
      <w:r>
        <w:t>ne basket, in one specific month. For gas baskets, there is one row per month, so a basket with a 12-month delivery window will have 12 rows in total. For power baskets there are 2 rows per month, one for baseload and one for peakload, with each row having</w:t>
      </w:r>
      <w:r>
        <w:t xml:space="preserve"> an identifier to specify which type of position it is.</w:t>
      </w:r>
    </w:p>
    <w:p w:rsidR="009F06CA" w:rsidRDefault="00D0425F">
      <w:r>
        <w:t xml:space="preserve">The columns are broadly similar between the two commodities. However, the actual header names differ between the two. As well as the naming difference, there are some columns that are only present in </w:t>
      </w:r>
      <w:r>
        <w:t>one commodity or the other: for example, the power queries include an extra column to designate the position as base or peak.</w:t>
      </w:r>
    </w:p>
    <w:p w:rsidR="009F06CA" w:rsidRDefault="00D0425F">
      <w:r>
        <w:t>The gas query has multiple versions of some columns, one showing the position based on 100% of total demand and the other based on</w:t>
      </w:r>
      <w:r>
        <w:t xml:space="preserve"> 90%. This is due to the way CCS manages volume risk, which normally results in less than 100% of the forecast requirement being purchased.</w:t>
      </w:r>
    </w:p>
    <w:p w:rsidR="009F06CA" w:rsidRDefault="00D0425F">
      <w:r>
        <w:t xml:space="preserve">The main position queries do not include optimisation trades (see above for an explanation of this facility) or gas </w:t>
      </w:r>
      <w:r>
        <w:t>actualisation trades. The system uses the boolean flags for each of these attributes to identify the relevant trades and exclude them from the query.</w:t>
      </w:r>
    </w:p>
    <w:p w:rsidR="009F06CA" w:rsidRDefault="00D0425F">
      <w:r>
        <w:t>Seperate queries are used to extract the optimisation positions. These are identical to the normal positio</w:t>
      </w:r>
      <w:r>
        <w:t>n queries, but only trades with the optimisation flag set are included.</w:t>
      </w:r>
    </w:p>
    <w:tbl>
      <w:tblPr>
        <w:tblStyle w:val="a8"/>
        <w:tblW w:w="9030" w:type="dxa"/>
        <w:tblBorders>
          <w:top w:val="nil"/>
          <w:left w:val="nil"/>
          <w:bottom w:val="nil"/>
          <w:right w:val="nil"/>
          <w:insideH w:val="nil"/>
          <w:insideV w:val="nil"/>
        </w:tblBorders>
        <w:tblLayout w:type="fixed"/>
        <w:tblLook w:val="0600" w:firstRow="0" w:lastRow="0" w:firstColumn="0" w:lastColumn="0" w:noHBand="1" w:noVBand="1"/>
      </w:tblPr>
      <w:tblGrid>
        <w:gridCol w:w="2775"/>
        <w:gridCol w:w="690"/>
        <w:gridCol w:w="5565"/>
      </w:tblGrid>
      <w:tr w:rsidR="009F06CA">
        <w:trPr>
          <w:trHeight w:val="300"/>
        </w:trPr>
        <w:tc>
          <w:tcPr>
            <w:tcW w:w="9030" w:type="dxa"/>
            <w:gridSpan w:val="3"/>
            <w:tcBorders>
              <w:top w:val="single" w:sz="6" w:space="0" w:color="000000"/>
              <w:left w:val="single" w:sz="6" w:space="0" w:color="000000"/>
              <w:bottom w:val="single" w:sz="6" w:space="0" w:color="000000"/>
              <w:right w:val="single" w:sz="6" w:space="0" w:color="000000"/>
            </w:tcBorders>
            <w:shd w:val="clear" w:color="auto" w:fill="0070C0"/>
            <w:tcMar>
              <w:top w:w="0" w:type="dxa"/>
              <w:left w:w="40" w:type="dxa"/>
              <w:bottom w:w="0" w:type="dxa"/>
              <w:right w:w="40" w:type="dxa"/>
            </w:tcMar>
          </w:tcPr>
          <w:p w:rsidR="009F06CA" w:rsidRDefault="00D0425F">
            <w:pPr>
              <w:widowControl w:val="0"/>
              <w:spacing w:after="0" w:line="276" w:lineRule="auto"/>
              <w:jc w:val="center"/>
              <w:rPr>
                <w:sz w:val="18"/>
                <w:szCs w:val="18"/>
              </w:rPr>
            </w:pPr>
            <w:r>
              <w:rPr>
                <w:b/>
                <w:color w:val="FFFFFF"/>
                <w:sz w:val="18"/>
                <w:szCs w:val="18"/>
              </w:rPr>
              <w:t>Power query fields</w:t>
            </w:r>
          </w:p>
        </w:tc>
      </w:tr>
      <w:tr w:rsidR="009F06CA">
        <w:trPr>
          <w:trHeight w:val="90"/>
        </w:trPr>
        <w:tc>
          <w:tcPr>
            <w:tcW w:w="2775" w:type="dxa"/>
            <w:tcBorders>
              <w:top w:val="single" w:sz="6" w:space="0" w:color="CCCCCC"/>
              <w:left w:val="single" w:sz="6" w:space="0" w:color="000000"/>
              <w:bottom w:val="single" w:sz="6" w:space="0" w:color="000000"/>
              <w:right w:val="single" w:sz="6" w:space="0" w:color="000000"/>
            </w:tcBorders>
            <w:shd w:val="clear" w:color="auto" w:fill="0070C0"/>
            <w:tcMar>
              <w:top w:w="0" w:type="dxa"/>
              <w:left w:w="40" w:type="dxa"/>
              <w:bottom w:w="0" w:type="dxa"/>
              <w:right w:w="40" w:type="dxa"/>
            </w:tcMar>
          </w:tcPr>
          <w:p w:rsidR="009F06CA" w:rsidRDefault="00D0425F">
            <w:pPr>
              <w:widowControl w:val="0"/>
              <w:spacing w:after="0" w:line="276" w:lineRule="auto"/>
              <w:rPr>
                <w:sz w:val="18"/>
                <w:szCs w:val="18"/>
              </w:rPr>
            </w:pPr>
            <w:r>
              <w:rPr>
                <w:b/>
                <w:color w:val="FFFFFF"/>
                <w:sz w:val="18"/>
                <w:szCs w:val="18"/>
              </w:rPr>
              <w:t>Field</w:t>
            </w:r>
          </w:p>
        </w:tc>
        <w:tc>
          <w:tcPr>
            <w:tcW w:w="690" w:type="dxa"/>
            <w:tcBorders>
              <w:top w:val="single" w:sz="6" w:space="0" w:color="CCCCCC"/>
              <w:left w:val="single" w:sz="6" w:space="0" w:color="CCCCCC"/>
              <w:bottom w:val="single" w:sz="6" w:space="0" w:color="000000"/>
              <w:right w:val="single" w:sz="6" w:space="0" w:color="000000"/>
            </w:tcBorders>
            <w:shd w:val="clear" w:color="auto" w:fill="0070C0"/>
            <w:tcMar>
              <w:top w:w="0" w:type="dxa"/>
              <w:left w:w="40" w:type="dxa"/>
              <w:bottom w:w="0" w:type="dxa"/>
              <w:right w:w="40" w:type="dxa"/>
            </w:tcMar>
          </w:tcPr>
          <w:p w:rsidR="009F06CA" w:rsidRDefault="00D0425F">
            <w:pPr>
              <w:widowControl w:val="0"/>
              <w:spacing w:after="0" w:line="276" w:lineRule="auto"/>
              <w:rPr>
                <w:sz w:val="18"/>
                <w:szCs w:val="18"/>
              </w:rPr>
            </w:pPr>
            <w:r>
              <w:rPr>
                <w:b/>
                <w:color w:val="FFFFFF"/>
                <w:sz w:val="18"/>
                <w:szCs w:val="18"/>
              </w:rPr>
              <w:t>Type</w:t>
            </w:r>
          </w:p>
        </w:tc>
        <w:tc>
          <w:tcPr>
            <w:tcW w:w="5565" w:type="dxa"/>
            <w:tcBorders>
              <w:top w:val="single" w:sz="6" w:space="0" w:color="CCCCCC"/>
              <w:left w:val="single" w:sz="6" w:space="0" w:color="CCCCCC"/>
              <w:bottom w:val="single" w:sz="6" w:space="0" w:color="000000"/>
              <w:right w:val="single" w:sz="6" w:space="0" w:color="000000"/>
            </w:tcBorders>
            <w:shd w:val="clear" w:color="auto" w:fill="0070C0"/>
            <w:tcMar>
              <w:top w:w="0" w:type="dxa"/>
              <w:left w:w="40" w:type="dxa"/>
              <w:bottom w:w="0" w:type="dxa"/>
              <w:right w:w="40" w:type="dxa"/>
            </w:tcMar>
          </w:tcPr>
          <w:p w:rsidR="009F06CA" w:rsidRDefault="00D0425F">
            <w:pPr>
              <w:widowControl w:val="0"/>
              <w:spacing w:after="0" w:line="276" w:lineRule="auto"/>
              <w:rPr>
                <w:sz w:val="18"/>
                <w:szCs w:val="18"/>
              </w:rPr>
            </w:pPr>
            <w:r>
              <w:rPr>
                <w:b/>
                <w:color w:val="FFFFFF"/>
                <w:sz w:val="18"/>
                <w:szCs w:val="18"/>
              </w:rPr>
              <w:t>Notes</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Basket</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Basket name</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Peak_Base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Designates the row as a baseload or peakload position</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Book_Type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 xml:space="preserve">Half hourly, non-half hourly, </w:t>
            </w:r>
            <w:r>
              <w:rPr>
                <w:sz w:val="18"/>
                <w:szCs w:val="18"/>
              </w:rPr>
              <w:t>un-metered supply, etc.</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MonthSort</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Integer</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Month number of the position</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Month</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Month name of the position</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Year</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Integer</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Year number of the position</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MW_Required</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MW required in each half hour period of the month</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MWh_Required</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MWh required for the entire month</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MW_Done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MW purchased for each half hour period in the month</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MWh_Done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MWh purchased for the entire month</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AVG_Price_Done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Average unit price of trades executed to date (in £/MWh)</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Value_Done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Total value of trades executed to date (in £)</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MW_Outstanding</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MW required in each half hour period to complete the month</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MWh_Outstanding</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MWh required to complete the entire month</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lastRenderedPageBreak/>
              <w:t>Current_Price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Current market price for the month, calculated from the average of each half hourly price in the forward curve (in £/MWh)</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Total_Outstanding</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Cost at current market price to complete the month (In £, calculated from MWh outstanding and current marke</w:t>
            </w:r>
            <w:r>
              <w:rPr>
                <w:sz w:val="18"/>
                <w:szCs w:val="18"/>
              </w:rPr>
              <w:t>t price)</w:t>
            </w:r>
          </w:p>
        </w:tc>
      </w:tr>
      <w:tr w:rsidR="009F06CA">
        <w:trPr>
          <w:trHeight w:val="555"/>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Average_Weighted_Price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The average overall unit cost of the month, including trades and open positions, calculated from (cost done + cost outstanding) / MWh required (in £)</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Percentage_Complete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Percentage purchased of the requirement for the month (expressed as a number from 0-100)</w:t>
            </w:r>
          </w:p>
        </w:tc>
      </w:tr>
      <w:tr w:rsidR="009F06CA">
        <w:trPr>
          <w:trHeight w:val="315"/>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Identifier</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 identifier for lookup purposes; concatenation of basket name, month number and year number</w:t>
            </w:r>
          </w:p>
        </w:tc>
      </w:tr>
      <w:tr w:rsidR="009F06CA">
        <w:trPr>
          <w:trHeight w:val="315"/>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Is_Active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Boolean</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True/false flag to enable filtering of active/inactive baskets</w:t>
            </w:r>
          </w:p>
        </w:tc>
      </w:tr>
      <w:tr w:rsidR="009F06CA">
        <w:trPr>
          <w:trHeight w:val="315"/>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Book_Id</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Integer</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Numeric identifier of the book in the system</w:t>
            </w:r>
          </w:p>
        </w:tc>
      </w:tr>
      <w:tr w:rsidR="009F06CA">
        <w:trPr>
          <w:trHeight w:val="315"/>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Locked or Variable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 string to designate locked or variable baskets</w:t>
            </w:r>
          </w:p>
        </w:tc>
      </w:tr>
      <w:tr w:rsidR="009F06CA">
        <w:trPr>
          <w:trHeight w:val="315"/>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Date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Date</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The position month identified in Excel date format; calculated from month number and year number</w:t>
            </w:r>
          </w:p>
        </w:tc>
      </w:tr>
      <w:tr w:rsidR="009F06CA">
        <w:trPr>
          <w:trHeight w:val="315"/>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QueryDate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Date</w:t>
            </w:r>
          </w:p>
        </w:tc>
        <w:tc>
          <w:tcPr>
            <w:tcW w:w="556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The date the query was executed in Excel date format</w:t>
            </w:r>
          </w:p>
        </w:tc>
      </w:tr>
    </w:tbl>
    <w:p w:rsidR="009F06CA" w:rsidRDefault="009F06CA">
      <w:pPr>
        <w:rPr>
          <w:highlight w:val="yellow"/>
        </w:rPr>
      </w:pPr>
    </w:p>
    <w:tbl>
      <w:tblPr>
        <w:tblStyle w:val="a9"/>
        <w:tblW w:w="9030" w:type="dxa"/>
        <w:tblBorders>
          <w:top w:val="nil"/>
          <w:left w:val="nil"/>
          <w:bottom w:val="nil"/>
          <w:right w:val="nil"/>
          <w:insideH w:val="nil"/>
          <w:insideV w:val="nil"/>
        </w:tblBorders>
        <w:tblLayout w:type="fixed"/>
        <w:tblLook w:val="0600" w:firstRow="0" w:lastRow="0" w:firstColumn="0" w:lastColumn="0" w:noHBand="1" w:noVBand="1"/>
      </w:tblPr>
      <w:tblGrid>
        <w:gridCol w:w="2775"/>
        <w:gridCol w:w="690"/>
        <w:gridCol w:w="5565"/>
      </w:tblGrid>
      <w:tr w:rsidR="009F06CA">
        <w:trPr>
          <w:trHeight w:val="180"/>
        </w:trPr>
        <w:tc>
          <w:tcPr>
            <w:tcW w:w="9030" w:type="dxa"/>
            <w:gridSpan w:val="3"/>
            <w:tcBorders>
              <w:top w:val="single" w:sz="6" w:space="0" w:color="000000"/>
              <w:left w:val="single" w:sz="6" w:space="0" w:color="000000"/>
              <w:bottom w:val="single" w:sz="6" w:space="0" w:color="000000"/>
              <w:right w:val="single" w:sz="6" w:space="0" w:color="000000"/>
            </w:tcBorders>
            <w:shd w:val="clear" w:color="auto" w:fill="0070C0"/>
            <w:tcMar>
              <w:top w:w="0" w:type="dxa"/>
              <w:left w:w="40" w:type="dxa"/>
              <w:bottom w:w="0" w:type="dxa"/>
              <w:right w:w="40" w:type="dxa"/>
            </w:tcMar>
          </w:tcPr>
          <w:p w:rsidR="009F06CA" w:rsidRDefault="00D0425F">
            <w:pPr>
              <w:widowControl w:val="0"/>
              <w:spacing w:after="0" w:line="276" w:lineRule="auto"/>
              <w:rPr>
                <w:b/>
                <w:color w:val="FFFFFF"/>
                <w:sz w:val="18"/>
                <w:szCs w:val="18"/>
              </w:rPr>
            </w:pPr>
            <w:r>
              <w:rPr>
                <w:b/>
                <w:color w:val="FFFFFF"/>
                <w:sz w:val="18"/>
                <w:szCs w:val="18"/>
              </w:rPr>
              <w:t>Gas query fields</w:t>
            </w:r>
          </w:p>
        </w:tc>
      </w:tr>
      <w:tr w:rsidR="009F06CA">
        <w:trPr>
          <w:trHeight w:val="135"/>
        </w:trPr>
        <w:tc>
          <w:tcPr>
            <w:tcW w:w="2775" w:type="dxa"/>
            <w:tcBorders>
              <w:top w:val="single" w:sz="6" w:space="0" w:color="000000"/>
              <w:left w:val="single" w:sz="6" w:space="0" w:color="000000"/>
              <w:bottom w:val="single" w:sz="6" w:space="0" w:color="000000"/>
              <w:right w:val="single" w:sz="6" w:space="0" w:color="000000"/>
            </w:tcBorders>
            <w:shd w:val="clear" w:color="auto" w:fill="0070C0"/>
            <w:tcMar>
              <w:top w:w="0" w:type="dxa"/>
              <w:left w:w="40" w:type="dxa"/>
              <w:bottom w:w="0" w:type="dxa"/>
              <w:right w:w="40" w:type="dxa"/>
            </w:tcMar>
          </w:tcPr>
          <w:p w:rsidR="009F06CA" w:rsidRDefault="00D0425F">
            <w:pPr>
              <w:widowControl w:val="0"/>
              <w:spacing w:after="0" w:line="276" w:lineRule="auto"/>
              <w:rPr>
                <w:sz w:val="18"/>
                <w:szCs w:val="18"/>
              </w:rPr>
            </w:pPr>
            <w:r>
              <w:rPr>
                <w:b/>
                <w:color w:val="FFFFFF"/>
                <w:sz w:val="18"/>
                <w:szCs w:val="18"/>
              </w:rPr>
              <w:t>Field</w:t>
            </w:r>
          </w:p>
        </w:tc>
        <w:tc>
          <w:tcPr>
            <w:tcW w:w="690" w:type="dxa"/>
            <w:tcBorders>
              <w:top w:val="single" w:sz="6" w:space="0" w:color="000000"/>
              <w:left w:val="single" w:sz="6" w:space="0" w:color="CCCCCC"/>
              <w:bottom w:val="single" w:sz="6" w:space="0" w:color="000000"/>
              <w:right w:val="single" w:sz="6" w:space="0" w:color="000000"/>
            </w:tcBorders>
            <w:shd w:val="clear" w:color="auto" w:fill="0070C0"/>
            <w:tcMar>
              <w:top w:w="0" w:type="dxa"/>
              <w:left w:w="40" w:type="dxa"/>
              <w:bottom w:w="0" w:type="dxa"/>
              <w:right w:w="40" w:type="dxa"/>
            </w:tcMar>
          </w:tcPr>
          <w:p w:rsidR="009F06CA" w:rsidRDefault="00D0425F">
            <w:pPr>
              <w:widowControl w:val="0"/>
              <w:spacing w:after="0" w:line="276" w:lineRule="auto"/>
              <w:rPr>
                <w:sz w:val="18"/>
                <w:szCs w:val="18"/>
              </w:rPr>
            </w:pPr>
            <w:r>
              <w:rPr>
                <w:b/>
                <w:color w:val="FFFFFF"/>
                <w:sz w:val="18"/>
                <w:szCs w:val="18"/>
              </w:rPr>
              <w:t>Type</w:t>
            </w:r>
          </w:p>
        </w:tc>
        <w:tc>
          <w:tcPr>
            <w:tcW w:w="5565" w:type="dxa"/>
            <w:tcBorders>
              <w:top w:val="single" w:sz="6" w:space="0" w:color="000000"/>
              <w:left w:val="single" w:sz="6" w:space="0" w:color="CCCCCC"/>
              <w:bottom w:val="single" w:sz="6" w:space="0" w:color="000000"/>
              <w:right w:val="single" w:sz="6" w:space="0" w:color="000000"/>
            </w:tcBorders>
            <w:shd w:val="clear" w:color="auto" w:fill="0070C0"/>
            <w:tcMar>
              <w:top w:w="0" w:type="dxa"/>
              <w:left w:w="40" w:type="dxa"/>
              <w:bottom w:w="0" w:type="dxa"/>
              <w:right w:w="40" w:type="dxa"/>
            </w:tcMar>
          </w:tcPr>
          <w:p w:rsidR="009F06CA" w:rsidRDefault="00D0425F">
            <w:pPr>
              <w:widowControl w:val="0"/>
              <w:spacing w:after="0" w:line="276" w:lineRule="auto"/>
              <w:rPr>
                <w:sz w:val="18"/>
                <w:szCs w:val="18"/>
              </w:rPr>
            </w:pPr>
            <w:r>
              <w:rPr>
                <w:b/>
                <w:color w:val="FFFFFF"/>
                <w:sz w:val="18"/>
                <w:szCs w:val="18"/>
              </w:rPr>
              <w:t>Notes</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Basket</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Basket name</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Book_Type</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Daily metered or non-daily metered</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Month</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Month name of the position</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SortMonth</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Integer</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Month number of the position</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Year</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Integer</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Year number of the position</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Total_th_Required_100</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100% of the basket demand forecast for the month</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Total_th_Required_90</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90% of the basket demand forecast for the month</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Total_th_per_day_Required_90</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Therms per day required for the 90% position</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Total_Therms_Done</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Volume purchased for the month (in therms)</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Total_Therms_Done_per_Day</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Average volume per day purchased for the month (in therms)</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Avg_Price_Done</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Average unit price of trades executed to date for the month (in p/therm)</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Cost_Done</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Total cost of the trades executed to date for the month (in £)</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Total_th_Outstanding</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Therms required to complete the month to 100%</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Total_th_per_Day_Outstanding</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Therms per day required to complete the month to 100%</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Total_th_per_Day_Outstanding_90</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Therms per day required to complete the month to</w:t>
            </w:r>
            <w:r>
              <w:rPr>
                <w:sz w:val="18"/>
                <w:szCs w:val="18"/>
              </w:rPr>
              <w:t xml:space="preserve"> 90%</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Current_Price_per_th</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The current market price for the month, calculated from the average of each daily price in the forward curve</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Cost_Outstanding</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Cost at current market price to complete the month to 100% (in £, calculated from market price * therms outstanding / 100)</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Benchmarh_Price_p_per_therm</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No longer used</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Avg_Weighted_Price_p_per_th</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The average overall cost of the month, inclu</w:t>
            </w:r>
            <w:r>
              <w:rPr>
                <w:sz w:val="18"/>
                <w:szCs w:val="18"/>
              </w:rPr>
              <w:t>ding trades and open positions, calculated from (cost done + cost outstanding) / therms required (in £)</w:t>
            </w:r>
          </w:p>
        </w:tc>
      </w:tr>
      <w:tr w:rsidR="009F06CA">
        <w:trPr>
          <w:trHeight w:val="315"/>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Percent_Complete</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Percentage purchased of 100% of the requirement for the month (expressed as a number from 0-100)</w:t>
            </w:r>
          </w:p>
        </w:tc>
      </w:tr>
      <w:tr w:rsidR="009F06CA">
        <w:trPr>
          <w:trHeight w:val="315"/>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Percent_Complete(90)</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Percentage purchased of 90% of the requirement for the month (expressed as a number from 0-100)</w:t>
            </w:r>
          </w:p>
        </w:tc>
      </w:tr>
      <w:tr w:rsidR="009F06CA">
        <w:trPr>
          <w:trHeight w:val="315"/>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Identifier</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 identifier for lookup purposes; concatenation of basket name, month number and year number</w:t>
            </w:r>
          </w:p>
        </w:tc>
      </w:tr>
      <w:tr w:rsidR="009F06CA">
        <w:trPr>
          <w:trHeight w:val="315"/>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lastRenderedPageBreak/>
              <w:t>Is_Active</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Boolean</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True/false flag to enable f</w:t>
            </w:r>
            <w:r>
              <w:rPr>
                <w:sz w:val="18"/>
                <w:szCs w:val="18"/>
              </w:rPr>
              <w:t>iltering of active/inactive baskets</w:t>
            </w:r>
          </w:p>
        </w:tc>
      </w:tr>
      <w:tr w:rsidR="009F06CA">
        <w:trPr>
          <w:trHeight w:val="315"/>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Book_Id</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Integer</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Numeric identifier of the book in the system</w:t>
            </w:r>
          </w:p>
        </w:tc>
      </w:tr>
      <w:tr w:rsidR="009F06CA">
        <w:trPr>
          <w:trHeight w:val="315"/>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Locked or Variable</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 string to designate locked or variable baskets</w:t>
            </w:r>
          </w:p>
        </w:tc>
      </w:tr>
      <w:tr w:rsidR="009F06CA">
        <w:trPr>
          <w:trHeight w:val="315"/>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Date</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Date</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The position month identified in Excel date format; calculated from month number and year number</w:t>
            </w:r>
          </w:p>
        </w:tc>
      </w:tr>
      <w:tr w:rsidR="009F06CA">
        <w:trPr>
          <w:trHeight w:val="315"/>
        </w:trPr>
        <w:tc>
          <w:tcPr>
            <w:tcW w:w="2775"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QueryDate</w:t>
            </w:r>
          </w:p>
        </w:tc>
        <w:tc>
          <w:tcPr>
            <w:tcW w:w="690"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Date</w:t>
            </w:r>
          </w:p>
        </w:tc>
        <w:tc>
          <w:tcPr>
            <w:tcW w:w="5565" w:type="dxa"/>
            <w:tcBorders>
              <w:top w:val="single" w:sz="6" w:space="0" w:color="CCCCCC"/>
              <w:left w:val="single" w:sz="6" w:space="0" w:color="CCCCCC"/>
              <w:bottom w:val="single" w:sz="6" w:space="0" w:color="000000"/>
              <w:right w:val="single" w:sz="6" w:space="0" w:color="000000"/>
            </w:tcBorders>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The date the query was executed in Excel date format</w:t>
            </w:r>
          </w:p>
        </w:tc>
      </w:tr>
    </w:tbl>
    <w:p w:rsidR="009F06CA" w:rsidRDefault="009F06CA">
      <w:pPr>
        <w:rPr>
          <w:highlight w:val="yellow"/>
        </w:rPr>
      </w:pPr>
    </w:p>
    <w:p w:rsidR="009F06CA" w:rsidRDefault="00D0425F">
      <w:pPr>
        <w:rPr>
          <w:b/>
          <w:u w:val="single"/>
        </w:rPr>
      </w:pPr>
      <w:r>
        <w:rPr>
          <w:b/>
          <w:u w:val="single"/>
        </w:rPr>
        <w:t>Trade queries</w:t>
      </w:r>
    </w:p>
    <w:p w:rsidR="009F06CA" w:rsidRDefault="00D0425F">
      <w:r>
        <w:t xml:space="preserve">As well as the main and optimisation position queries, there is an additional query used to extract a list of trades from the ETS. This is more straightforward than the position queries, as it is a simple extract of the trade data contained in the system, </w:t>
      </w:r>
      <w:r>
        <w:t>one trade per line.</w:t>
      </w:r>
    </w:p>
    <w:p w:rsidR="009F06CA" w:rsidRDefault="00D0425F">
      <w:r>
        <w:t>Not all the fields the ETS captures for trade entry are needed in this query; the subset of fields included can be found in the table below.</w:t>
      </w:r>
    </w:p>
    <w:tbl>
      <w:tblPr>
        <w:tblStyle w:val="aa"/>
        <w:tblW w:w="9060" w:type="dxa"/>
        <w:tblBorders>
          <w:top w:val="nil"/>
          <w:left w:val="nil"/>
          <w:bottom w:val="nil"/>
          <w:right w:val="nil"/>
          <w:insideH w:val="nil"/>
          <w:insideV w:val="nil"/>
        </w:tblBorders>
        <w:tblLayout w:type="fixed"/>
        <w:tblLook w:val="0600" w:firstRow="0" w:lastRow="0" w:firstColumn="0" w:lastColumn="0" w:noHBand="1" w:noVBand="1"/>
      </w:tblPr>
      <w:tblGrid>
        <w:gridCol w:w="2775"/>
        <w:gridCol w:w="690"/>
        <w:gridCol w:w="5595"/>
      </w:tblGrid>
      <w:tr w:rsidR="009F06CA">
        <w:trPr>
          <w:trHeight w:val="300"/>
        </w:trPr>
        <w:tc>
          <w:tcPr>
            <w:tcW w:w="9060" w:type="dxa"/>
            <w:gridSpan w:val="3"/>
            <w:tcBorders>
              <w:top w:val="single" w:sz="6" w:space="0" w:color="000000"/>
              <w:left w:val="single" w:sz="6" w:space="0" w:color="000000"/>
              <w:bottom w:val="single" w:sz="6" w:space="0" w:color="000000"/>
              <w:right w:val="single" w:sz="6" w:space="0" w:color="000000"/>
            </w:tcBorders>
            <w:shd w:val="clear" w:color="auto" w:fill="0070C0"/>
            <w:tcMar>
              <w:top w:w="0" w:type="dxa"/>
              <w:left w:w="40" w:type="dxa"/>
              <w:bottom w:w="0" w:type="dxa"/>
              <w:right w:w="40" w:type="dxa"/>
            </w:tcMar>
          </w:tcPr>
          <w:p w:rsidR="009F06CA" w:rsidRDefault="00D0425F">
            <w:pPr>
              <w:widowControl w:val="0"/>
              <w:spacing w:after="0" w:line="276" w:lineRule="auto"/>
              <w:jc w:val="center"/>
              <w:rPr>
                <w:sz w:val="18"/>
                <w:szCs w:val="18"/>
              </w:rPr>
            </w:pPr>
            <w:r>
              <w:rPr>
                <w:b/>
                <w:color w:val="FFFFFF"/>
                <w:sz w:val="18"/>
                <w:szCs w:val="18"/>
              </w:rPr>
              <w:t>Trade query fields</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0070C0"/>
            <w:tcMar>
              <w:top w:w="0" w:type="dxa"/>
              <w:left w:w="40" w:type="dxa"/>
              <w:bottom w:w="0" w:type="dxa"/>
              <w:right w:w="40" w:type="dxa"/>
            </w:tcMar>
          </w:tcPr>
          <w:p w:rsidR="009F06CA" w:rsidRDefault="00D0425F">
            <w:pPr>
              <w:widowControl w:val="0"/>
              <w:spacing w:after="0" w:line="276" w:lineRule="auto"/>
              <w:rPr>
                <w:sz w:val="18"/>
                <w:szCs w:val="18"/>
              </w:rPr>
            </w:pPr>
            <w:r>
              <w:rPr>
                <w:b/>
                <w:color w:val="FFFFFF"/>
                <w:sz w:val="18"/>
                <w:szCs w:val="18"/>
              </w:rPr>
              <w:t>Field</w:t>
            </w:r>
          </w:p>
        </w:tc>
        <w:tc>
          <w:tcPr>
            <w:tcW w:w="690" w:type="dxa"/>
            <w:tcBorders>
              <w:top w:val="single" w:sz="6" w:space="0" w:color="CCCCCC"/>
              <w:left w:val="single" w:sz="6" w:space="0" w:color="CCCCCC"/>
              <w:bottom w:val="single" w:sz="6" w:space="0" w:color="000000"/>
              <w:right w:val="single" w:sz="6" w:space="0" w:color="000000"/>
            </w:tcBorders>
            <w:shd w:val="clear" w:color="auto" w:fill="0070C0"/>
            <w:tcMar>
              <w:top w:w="0" w:type="dxa"/>
              <w:left w:w="40" w:type="dxa"/>
              <w:bottom w:w="0" w:type="dxa"/>
              <w:right w:w="40" w:type="dxa"/>
            </w:tcMar>
          </w:tcPr>
          <w:p w:rsidR="009F06CA" w:rsidRDefault="00D0425F">
            <w:pPr>
              <w:widowControl w:val="0"/>
              <w:spacing w:after="0" w:line="276" w:lineRule="auto"/>
              <w:rPr>
                <w:sz w:val="18"/>
                <w:szCs w:val="18"/>
              </w:rPr>
            </w:pPr>
            <w:r>
              <w:rPr>
                <w:b/>
                <w:color w:val="FFFFFF"/>
                <w:sz w:val="18"/>
                <w:szCs w:val="18"/>
              </w:rPr>
              <w:t>Type</w:t>
            </w:r>
          </w:p>
        </w:tc>
        <w:tc>
          <w:tcPr>
            <w:tcW w:w="5595" w:type="dxa"/>
            <w:tcBorders>
              <w:top w:val="single" w:sz="6" w:space="0" w:color="CCCCCC"/>
              <w:left w:val="single" w:sz="6" w:space="0" w:color="CCCCCC"/>
              <w:bottom w:val="single" w:sz="6" w:space="0" w:color="000000"/>
              <w:right w:val="single" w:sz="6" w:space="0" w:color="000000"/>
            </w:tcBorders>
            <w:shd w:val="clear" w:color="auto" w:fill="0070C0"/>
            <w:tcMar>
              <w:top w:w="0" w:type="dxa"/>
              <w:left w:w="40" w:type="dxa"/>
              <w:bottom w:w="0" w:type="dxa"/>
              <w:right w:w="40" w:type="dxa"/>
            </w:tcMar>
          </w:tcPr>
          <w:p w:rsidR="009F06CA" w:rsidRDefault="00D0425F">
            <w:pPr>
              <w:widowControl w:val="0"/>
              <w:spacing w:after="0" w:line="276" w:lineRule="auto"/>
              <w:rPr>
                <w:sz w:val="18"/>
                <w:szCs w:val="18"/>
              </w:rPr>
            </w:pPr>
            <w:r>
              <w:rPr>
                <w:b/>
                <w:color w:val="FFFFFF"/>
                <w:sz w:val="18"/>
                <w:szCs w:val="18"/>
              </w:rPr>
              <w:t>Notes</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Trade_Description</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w:t>
            </w:r>
          </w:p>
        </w:tc>
        <w:tc>
          <w:tcPr>
            <w:tcW w:w="559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Normal, optimisation or gas actualisation</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Trade_Id</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w:t>
            </w:r>
          </w:p>
        </w:tc>
        <w:tc>
          <w:tcPr>
            <w:tcW w:w="559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Unique reference number assigned by the ETS</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Book_Name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w:t>
            </w:r>
          </w:p>
        </w:tc>
        <w:tc>
          <w:tcPr>
            <w:tcW w:w="559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The name of the basket the trade is assigned to</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Trade_Type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w:t>
            </w:r>
          </w:p>
        </w:tc>
        <w:tc>
          <w:tcPr>
            <w:tcW w:w="559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The type of trade; usually Forward</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Delivery_Shape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w:t>
            </w:r>
          </w:p>
        </w:tc>
        <w:tc>
          <w:tcPr>
            <w:tcW w:w="559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Base or peak</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Delivery_Window</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w:t>
            </w:r>
          </w:p>
        </w:tc>
        <w:tc>
          <w:tcPr>
            <w:tcW w:w="559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Month, quarter, season, etc. (includes 'custom')</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Buy_Sell</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w:t>
            </w:r>
          </w:p>
        </w:tc>
        <w:tc>
          <w:tcPr>
            <w:tcW w:w="559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B for 'buy', S for 'sell'</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Start_Date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Date</w:t>
            </w:r>
          </w:p>
        </w:tc>
        <w:tc>
          <w:tcPr>
            <w:tcW w:w="559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Start date of the trade's delivery window, in Excel date format</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End_Date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Date</w:t>
            </w:r>
          </w:p>
        </w:tc>
        <w:tc>
          <w:tcPr>
            <w:tcW w:w="559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End date of the trade's delivery window, in Excel date format</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Calendar_Window_Name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w:t>
            </w:r>
          </w:p>
        </w:tc>
        <w:tc>
          <w:tcPr>
            <w:tcW w:w="559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The delivery window of the contract,for example "Summer 2020", "Q1 2021" or "2019 M4"</w:t>
            </w:r>
          </w:p>
        </w:tc>
      </w:tr>
      <w:tr w:rsidR="009F06CA">
        <w:trPr>
          <w:trHeight w:val="555"/>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Volume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9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Volume per period</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Volume_Unit</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Text</w:t>
            </w:r>
          </w:p>
        </w:tc>
        <w:tc>
          <w:tcPr>
            <w:tcW w:w="559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Volume unit of the trade (usually MW for power and therms for gas)</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Executed_Date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Date</w:t>
            </w:r>
          </w:p>
        </w:tc>
        <w:tc>
          <w:tcPr>
            <w:tcW w:w="559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Date the trade was placed</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Is_Void</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Boolean</w:t>
            </w:r>
          </w:p>
        </w:tc>
        <w:tc>
          <w:tcPr>
            <w:tcW w:w="559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True/false flag to identify voided trades that are no longer being counted towards positions</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Contract_Price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9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The price per unit of the trade</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Total_Volume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9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The total volume of the trade, i.e. volume per period * number of periods</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Total_Value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Decimal</w:t>
            </w:r>
          </w:p>
        </w:tc>
        <w:tc>
          <w:tcPr>
            <w:tcW w:w="559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The total value of the trade, i.e. total volume * unit price</w:t>
            </w:r>
          </w:p>
        </w:tc>
      </w:tr>
      <w:tr w:rsidR="009F06CA">
        <w:trPr>
          <w:trHeight w:val="300"/>
        </w:trPr>
        <w:tc>
          <w:tcPr>
            <w:tcW w:w="2775" w:type="dxa"/>
            <w:tcBorders>
              <w:top w:val="single" w:sz="6" w:space="0" w:color="CCCCCC"/>
              <w:left w:val="single" w:sz="6" w:space="0" w:color="000000"/>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QueryDate</w:t>
            </w:r>
          </w:p>
        </w:tc>
        <w:tc>
          <w:tcPr>
            <w:tcW w:w="690"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Date</w:t>
            </w:r>
          </w:p>
        </w:tc>
        <w:tc>
          <w:tcPr>
            <w:tcW w:w="5595" w:type="dxa"/>
            <w:tcBorders>
              <w:top w:val="single" w:sz="6" w:space="0" w:color="CCCCCC"/>
              <w:left w:val="single" w:sz="6" w:space="0" w:color="CCCCCC"/>
              <w:bottom w:val="single" w:sz="6" w:space="0" w:color="000000"/>
              <w:right w:val="single" w:sz="6" w:space="0" w:color="000000"/>
            </w:tcBorders>
            <w:shd w:val="clear" w:color="auto" w:fill="auto"/>
            <w:tcMar>
              <w:top w:w="0" w:type="dxa"/>
              <w:left w:w="40" w:type="dxa"/>
              <w:bottom w:w="0" w:type="dxa"/>
              <w:right w:w="40" w:type="dxa"/>
            </w:tcMar>
          </w:tcPr>
          <w:p w:rsidR="009F06CA" w:rsidRDefault="00D0425F">
            <w:pPr>
              <w:widowControl w:val="0"/>
              <w:spacing w:after="0" w:line="276" w:lineRule="auto"/>
              <w:rPr>
                <w:sz w:val="18"/>
                <w:szCs w:val="18"/>
              </w:rPr>
            </w:pPr>
            <w:r>
              <w:rPr>
                <w:sz w:val="18"/>
                <w:szCs w:val="18"/>
              </w:rPr>
              <w:t>The date the query was executed in Excel date format</w:t>
            </w:r>
          </w:p>
        </w:tc>
      </w:tr>
    </w:tbl>
    <w:p w:rsidR="009F06CA" w:rsidRDefault="00D0425F">
      <w:pPr>
        <w:rPr>
          <w:highlight w:val="yellow"/>
        </w:rPr>
      </w:pPr>
      <w:r>
        <w:br w:type="page"/>
      </w:r>
    </w:p>
    <w:p w:rsidR="009F06CA" w:rsidRDefault="009F06CA"/>
    <w:p w:rsidR="009F06CA" w:rsidRDefault="00D0425F">
      <w:pPr>
        <w:pStyle w:val="Heading1"/>
      </w:pPr>
      <w:bookmarkStart w:id="36" w:name="_1ci93xb" w:colFirst="0" w:colLast="0"/>
      <w:bookmarkEnd w:id="36"/>
      <w:r>
        <w:t>Appendix 3: Volatility and CaR formulas</w:t>
      </w:r>
    </w:p>
    <w:p w:rsidR="009F06CA" w:rsidRDefault="00D0425F">
      <w:r>
        <w:t>Cost-at-Risk is a variation on the common Value-at-Risk calculation used in traded financial markets (</w:t>
      </w:r>
      <w:hyperlink r:id="rId12">
        <w:r>
          <w:rPr>
            <w:color w:val="1155CC"/>
            <w:u w:val="single"/>
          </w:rPr>
          <w:t>https://www.investopedia.com/ask/answers/033115/how-can-you-calculate-value-risk-var-excel.asp</w:t>
        </w:r>
      </w:hyperlink>
      <w:r>
        <w:t>). Cost-at-Risk adds an additional ‘close-out factor’ to account for the mean reversion characteristic of gas and power markets.</w:t>
      </w:r>
    </w:p>
    <w:p w:rsidR="009F06CA" w:rsidRDefault="00D0425F">
      <w:r>
        <w:t>The formula for CaR is:</w:t>
      </w:r>
    </w:p>
    <w:p w:rsidR="009F06CA" w:rsidRDefault="00D0425F">
      <w:pPr>
        <w:rPr>
          <w:sz w:val="36"/>
          <w:szCs w:val="36"/>
        </w:rPr>
      </w:pPr>
      <m:oMathPara>
        <m:oMath>
          <m:r>
            <w:rPr>
              <w:rFonts w:ascii="Cambria Math" w:hAnsi="Cambria Math"/>
              <w:color w:val="000000"/>
              <w:sz w:val="36"/>
              <w:szCs w:val="36"/>
            </w:rPr>
            <m:t>CaR</m:t>
          </m:r>
          <m:r>
            <w:rPr>
              <w:rFonts w:ascii="Cambria Math" w:hAnsi="Cambria Math"/>
              <w:color w:val="000000"/>
              <w:sz w:val="36"/>
              <w:szCs w:val="36"/>
            </w:rPr>
            <m:t xml:space="preserve"> = </m:t>
          </m:r>
          <m:r>
            <w:rPr>
              <w:rFonts w:ascii="Cambria Math" w:hAnsi="Cambria Math"/>
              <w:color w:val="000000"/>
              <w:sz w:val="36"/>
              <w:szCs w:val="36"/>
            </w:rPr>
            <m:t>MV</m:t>
          </m:r>
          <m:r>
            <w:rPr>
              <w:rFonts w:ascii="Cambria Math" w:hAnsi="Cambria Math"/>
              <w:color w:val="000000"/>
              <w:sz w:val="36"/>
              <w:szCs w:val="36"/>
            </w:rPr>
            <m:t xml:space="preserve"> ×</m:t>
          </m:r>
          <m:r>
            <w:rPr>
              <w:rFonts w:ascii="Cambria Math" w:hAnsi="Cambria Math"/>
              <w:color w:val="000000"/>
              <w:sz w:val="36"/>
              <w:szCs w:val="36"/>
            </w:rPr>
            <m:t>AV</m:t>
          </m:r>
          <m:r>
            <w:rPr>
              <w:rFonts w:ascii="Cambria Math" w:hAnsi="Cambria Math"/>
              <w:color w:val="000000"/>
              <w:sz w:val="36"/>
              <w:szCs w:val="36"/>
            </w:rPr>
            <m:t xml:space="preserve"> × </m:t>
          </m:r>
          <m:rad>
            <m:radPr>
              <m:degHide m:val="1"/>
              <m:ctrlPr>
                <w:rPr>
                  <w:rFonts w:ascii="Cambria Math" w:hAnsi="Cambria Math"/>
                  <w:color w:val="000000"/>
                  <w:sz w:val="36"/>
                  <w:szCs w:val="36"/>
                </w:rPr>
              </m:ctrlPr>
            </m:radPr>
            <m:deg/>
            <m:e>
              <m:f>
                <m:fPr>
                  <m:ctrlPr>
                    <w:rPr>
                      <w:rFonts w:ascii="Cambria Math" w:hAnsi="Cambria Math"/>
                      <w:color w:val="000000"/>
                      <w:sz w:val="36"/>
                      <w:szCs w:val="36"/>
                    </w:rPr>
                  </m:ctrlPr>
                </m:fPr>
                <m:num>
                  <m:r>
                    <w:rPr>
                      <w:rFonts w:ascii="Cambria Math" w:hAnsi="Cambria Math"/>
                      <w:color w:val="000000"/>
                      <w:sz w:val="36"/>
                      <w:szCs w:val="36"/>
                    </w:rPr>
                    <m:t>HP</m:t>
                  </m:r>
                </m:num>
                <m:den>
                  <m:r>
                    <w:rPr>
                      <w:rFonts w:ascii="Cambria Math" w:hAnsi="Cambria Math"/>
                      <w:color w:val="000000"/>
                      <w:sz w:val="36"/>
                      <w:szCs w:val="36"/>
                    </w:rPr>
                    <m:t>252</m:t>
                  </m:r>
                </m:den>
              </m:f>
            </m:e>
          </m:rad>
          <m:r>
            <w:rPr>
              <w:rFonts w:ascii="Cambria Math" w:hAnsi="Cambria Math"/>
              <w:color w:val="000000"/>
              <w:sz w:val="36"/>
              <w:szCs w:val="36"/>
            </w:rPr>
            <m:t xml:space="preserve"> ×</m:t>
          </m:r>
          <m:r>
            <w:rPr>
              <w:rFonts w:ascii="Cambria Math" w:hAnsi="Cambria Math"/>
              <w:color w:val="000000"/>
              <w:sz w:val="36"/>
              <w:szCs w:val="36"/>
            </w:rPr>
            <m:t>CI</m:t>
          </m:r>
          <m:r>
            <w:rPr>
              <w:rFonts w:ascii="Cambria Math" w:hAnsi="Cambria Math"/>
              <w:color w:val="000000"/>
              <w:sz w:val="36"/>
              <w:szCs w:val="36"/>
            </w:rPr>
            <m:t xml:space="preserve"> ×</m:t>
          </m:r>
          <m:r>
            <w:rPr>
              <w:rFonts w:ascii="Cambria Math" w:hAnsi="Cambria Math"/>
              <w:color w:val="000000"/>
              <w:sz w:val="36"/>
              <w:szCs w:val="36"/>
            </w:rPr>
            <m:t>CF</m:t>
          </m:r>
        </m:oMath>
      </m:oMathPara>
    </w:p>
    <w:p w:rsidR="009F06CA" w:rsidRDefault="00D0425F">
      <w:r>
        <w:t>Where:</w:t>
      </w:r>
    </w:p>
    <w:p w:rsidR="009F06CA" w:rsidRDefault="00D0425F">
      <w:pPr>
        <w:numPr>
          <w:ilvl w:val="0"/>
          <w:numId w:val="16"/>
        </w:numPr>
        <w:spacing w:after="0"/>
      </w:pPr>
      <w:r>
        <w:t>CaR = Close Cost-at-Risk (assumes that positions are c</w:t>
      </w:r>
      <w:r>
        <w:t>losed out in line with market liquidity)</w:t>
      </w:r>
    </w:p>
    <w:p w:rsidR="009F06CA" w:rsidRDefault="00D0425F">
      <w:pPr>
        <w:numPr>
          <w:ilvl w:val="0"/>
          <w:numId w:val="16"/>
        </w:numPr>
        <w:spacing w:after="0"/>
      </w:pPr>
      <w:r>
        <w:t>MV = Market value</w:t>
      </w:r>
    </w:p>
    <w:p w:rsidR="009F06CA" w:rsidRDefault="00D0425F">
      <w:pPr>
        <w:numPr>
          <w:ilvl w:val="0"/>
          <w:numId w:val="16"/>
        </w:numPr>
        <w:spacing w:after="0"/>
      </w:pPr>
      <w:r>
        <w:t>AV = Annualised volatility</w:t>
      </w:r>
    </w:p>
    <w:p w:rsidR="009F06CA" w:rsidRDefault="00D0425F">
      <w:pPr>
        <w:numPr>
          <w:ilvl w:val="0"/>
          <w:numId w:val="16"/>
        </w:numPr>
        <w:spacing w:after="0"/>
      </w:pPr>
      <w:r>
        <w:t>HP = Holding period (days required to close the position)</w:t>
      </w:r>
    </w:p>
    <w:p w:rsidR="009F06CA" w:rsidRDefault="00D0425F">
      <w:pPr>
        <w:numPr>
          <w:ilvl w:val="0"/>
          <w:numId w:val="16"/>
        </w:numPr>
        <w:spacing w:after="0"/>
      </w:pPr>
      <w:r>
        <w:t>CI = Confidence interval (CCS use a 90% confidence interval: 1.645)</w:t>
      </w:r>
    </w:p>
    <w:p w:rsidR="009F06CA" w:rsidRDefault="00D0425F">
      <w:pPr>
        <w:numPr>
          <w:ilvl w:val="0"/>
          <w:numId w:val="16"/>
        </w:numPr>
      </w:pPr>
      <w:r>
        <w:t>CF = Close-out factor</w:t>
      </w:r>
    </w:p>
    <w:p w:rsidR="009F06CA" w:rsidRDefault="00D0425F">
      <w:r>
        <w:t>The formula for the cl</w:t>
      </w:r>
      <w:r>
        <w:t>ose-out factor is:</w:t>
      </w:r>
    </w:p>
    <w:p w:rsidR="009F06CA" w:rsidRDefault="00D0425F">
      <w:pPr>
        <w:rPr>
          <w:sz w:val="36"/>
          <w:szCs w:val="36"/>
        </w:rPr>
      </w:pPr>
      <m:oMathPara>
        <m:oMath>
          <m:r>
            <w:rPr>
              <w:rFonts w:ascii="Cambria Math" w:hAnsi="Cambria Math"/>
              <w:sz w:val="36"/>
              <w:szCs w:val="36"/>
            </w:rPr>
            <m:t>CF</m:t>
          </m:r>
          <m:r>
            <w:rPr>
              <w:rFonts w:ascii="Cambria Math" w:hAnsi="Cambria Math"/>
              <w:sz w:val="36"/>
              <w:szCs w:val="36"/>
            </w:rPr>
            <m:t xml:space="preserve"> = </m:t>
          </m:r>
          <m:rad>
            <m:radPr>
              <m:degHide m:val="1"/>
              <m:ctrlPr>
                <w:rPr>
                  <w:rFonts w:ascii="Cambria Math" w:hAnsi="Cambria Math"/>
                  <w:sz w:val="36"/>
                  <w:szCs w:val="36"/>
                </w:rPr>
              </m:ctrlPr>
            </m:radPr>
            <m:deg/>
            <m:e>
              <m:f>
                <m:fPr>
                  <m:ctrlPr>
                    <w:rPr>
                      <w:rFonts w:ascii="Cambria Math" w:hAnsi="Cambria Math"/>
                      <w:sz w:val="36"/>
                      <w:szCs w:val="36"/>
                    </w:rPr>
                  </m:ctrlPr>
                </m:fPr>
                <m:num>
                  <m:r>
                    <w:rPr>
                      <w:rFonts w:ascii="Cambria Math" w:hAnsi="Cambria Math"/>
                      <w:sz w:val="36"/>
                      <w:szCs w:val="36"/>
                    </w:rPr>
                    <m:t xml:space="preserve">3 + </m:t>
                  </m:r>
                  <m:f>
                    <m:fPr>
                      <m:ctrlPr>
                        <w:rPr>
                          <w:rFonts w:ascii="Cambria Math" w:hAnsi="Cambria Math"/>
                          <w:sz w:val="36"/>
                          <w:szCs w:val="36"/>
                        </w:rPr>
                      </m:ctrlPr>
                    </m:fPr>
                    <m:num>
                      <m:r>
                        <w:rPr>
                          <w:rFonts w:ascii="Cambria Math" w:hAnsi="Cambria Math"/>
                          <w:sz w:val="36"/>
                          <w:szCs w:val="36"/>
                        </w:rPr>
                        <m:t>1</m:t>
                      </m:r>
                    </m:num>
                    <m:den>
                      <m:r>
                        <w:rPr>
                          <w:rFonts w:ascii="Cambria Math" w:hAnsi="Cambria Math"/>
                          <w:sz w:val="36"/>
                          <w:szCs w:val="36"/>
                        </w:rPr>
                        <m:t>HP</m:t>
                      </m:r>
                    </m:den>
                  </m:f>
                  <m:r>
                    <w:rPr>
                      <w:rFonts w:ascii="Cambria Math" w:hAnsi="Cambria Math"/>
                      <w:sz w:val="36"/>
                      <w:szCs w:val="36"/>
                    </w:rPr>
                    <m:t xml:space="preserve"> + 2</m:t>
                  </m:r>
                  <m:r>
                    <w:rPr>
                      <w:rFonts w:ascii="Cambria Math" w:hAnsi="Cambria Math"/>
                      <w:sz w:val="36"/>
                      <w:szCs w:val="36"/>
                    </w:rPr>
                    <m:t>HP</m:t>
                  </m:r>
                </m:num>
                <m:den>
                  <m:r>
                    <w:rPr>
                      <w:rFonts w:ascii="Cambria Math" w:hAnsi="Cambria Math"/>
                      <w:sz w:val="36"/>
                      <w:szCs w:val="36"/>
                    </w:rPr>
                    <m:t>6</m:t>
                  </m:r>
                  <m:r>
                    <w:rPr>
                      <w:rFonts w:ascii="Cambria Math" w:hAnsi="Cambria Math"/>
                      <w:sz w:val="36"/>
                      <w:szCs w:val="36"/>
                    </w:rPr>
                    <m:t>HP</m:t>
                  </m:r>
                </m:den>
              </m:f>
            </m:e>
          </m:rad>
        </m:oMath>
      </m:oMathPara>
    </w:p>
    <w:p w:rsidR="009F06CA" w:rsidRDefault="009F06CA"/>
    <w:p w:rsidR="009F06CA" w:rsidRDefault="00D0425F">
      <w:r>
        <w:t>The process to calculate CaR using the above formula is as follows:</w:t>
      </w:r>
    </w:p>
    <w:p w:rsidR="009F06CA" w:rsidRDefault="00D0425F">
      <w:pPr>
        <w:numPr>
          <w:ilvl w:val="0"/>
          <w:numId w:val="15"/>
        </w:numPr>
        <w:rPr>
          <w:b/>
        </w:rPr>
      </w:pPr>
      <w:r>
        <w:rPr>
          <w:b/>
        </w:rPr>
        <w:t>Compile pricing data for the relevant contracts</w:t>
      </w:r>
    </w:p>
    <w:p w:rsidR="009F06CA" w:rsidRDefault="00D0425F">
      <w:pPr>
        <w:ind w:left="720"/>
      </w:pPr>
      <w:r>
        <w:t>CCS uses quoted monthly contract prices to calculate volatility, using 60 days of historic</w:t>
      </w:r>
      <w:r>
        <w:t xml:space="preserve"> observations. To calculate today’s CaR for a basket, we must have prices for all the open monthly positions for the past 60 days.</w:t>
      </w:r>
    </w:p>
    <w:p w:rsidR="009F06CA" w:rsidRDefault="00D0425F">
      <w:pPr>
        <w:ind w:left="720"/>
      </w:pPr>
      <w:r>
        <w:t>For example, if today is the 1st January 2020, to calculate the CaR for a 12-month basket starting in April 2020 we will need</w:t>
      </w:r>
      <w:r>
        <w:t>:</w:t>
      </w:r>
    </w:p>
    <w:p w:rsidR="009F06CA" w:rsidRDefault="00D0425F">
      <w:pPr>
        <w:numPr>
          <w:ilvl w:val="0"/>
          <w:numId w:val="11"/>
        </w:numPr>
        <w:spacing w:after="0"/>
      </w:pPr>
      <w:r>
        <w:t>60 days of pricing data for the April 2020 contract</w:t>
      </w:r>
    </w:p>
    <w:p w:rsidR="009F06CA" w:rsidRDefault="00D0425F">
      <w:pPr>
        <w:numPr>
          <w:ilvl w:val="0"/>
          <w:numId w:val="11"/>
        </w:numPr>
        <w:spacing w:after="0"/>
      </w:pPr>
      <w:r>
        <w:t>60 days of pricing data for the May 2020 contract</w:t>
      </w:r>
    </w:p>
    <w:p w:rsidR="009F06CA" w:rsidRDefault="00D0425F">
      <w:pPr>
        <w:numPr>
          <w:ilvl w:val="0"/>
          <w:numId w:val="11"/>
        </w:numPr>
        <w:spacing w:after="0"/>
      </w:pPr>
      <w:r>
        <w:t>60 days of pricing data for the June 2020 contract</w:t>
      </w:r>
    </w:p>
    <w:p w:rsidR="009F06CA" w:rsidRDefault="00D0425F">
      <w:pPr>
        <w:numPr>
          <w:ilvl w:val="0"/>
          <w:numId w:val="11"/>
        </w:numPr>
      </w:pPr>
      <w:r>
        <w:t>Etc. (for all 12 monthly contracts)</w:t>
      </w:r>
    </w:p>
    <w:p w:rsidR="009F06CA" w:rsidRDefault="009F06CA">
      <w:pPr>
        <w:ind w:left="1440"/>
      </w:pPr>
    </w:p>
    <w:p w:rsidR="009F06CA" w:rsidRDefault="00D0425F">
      <w:pPr>
        <w:numPr>
          <w:ilvl w:val="0"/>
          <w:numId w:val="15"/>
        </w:numPr>
        <w:rPr>
          <w:b/>
        </w:rPr>
      </w:pPr>
      <w:r>
        <w:rPr>
          <w:b/>
        </w:rPr>
        <w:t>Calculate basket positions</w:t>
      </w:r>
    </w:p>
    <w:p w:rsidR="009F06CA" w:rsidRDefault="00D0425F">
      <w:pPr>
        <w:ind w:left="720"/>
      </w:pPr>
      <w:r>
        <w:t>To calculate monthly CaR we need the outstanding value remaining in each month.</w:t>
      </w:r>
    </w:p>
    <w:p w:rsidR="009F06CA" w:rsidRDefault="00D0425F">
      <w:pPr>
        <w:ind w:left="720"/>
      </w:pPr>
      <w:r>
        <w:lastRenderedPageBreak/>
        <w:t>To find this we need to know how much volume remains un-bought (by subtracting the volume locked by trades from the demand forecast) and how much this volume will cost to buy (</w:t>
      </w:r>
      <w:r>
        <w:t>from our pricing data).</w:t>
      </w:r>
    </w:p>
    <w:p w:rsidR="009F06CA" w:rsidRDefault="00D0425F">
      <w:pPr>
        <w:numPr>
          <w:ilvl w:val="0"/>
          <w:numId w:val="15"/>
        </w:numPr>
        <w:rPr>
          <w:b/>
        </w:rPr>
      </w:pPr>
      <w:r>
        <w:rPr>
          <w:b/>
        </w:rPr>
        <w:t>Decide holding periods</w:t>
      </w:r>
    </w:p>
    <w:p w:rsidR="009F06CA" w:rsidRDefault="00D0425F">
      <w:pPr>
        <w:ind w:left="720"/>
      </w:pPr>
      <w:r>
        <w:t>CCS has different holding periods (the time required to close out the position in line with market liquidity) for each basket strategy. These are based on the size of the basket and how far ahead of delivery v</w:t>
      </w:r>
      <w:r>
        <w:t>olume is hedged (further dated contracts tending to be less liquid).</w:t>
      </w:r>
    </w:p>
    <w:p w:rsidR="009F06CA" w:rsidRDefault="009F06CA">
      <w:pPr>
        <w:ind w:left="720"/>
      </w:pPr>
    </w:p>
    <w:p w:rsidR="009F06CA" w:rsidRDefault="00D0425F">
      <w:pPr>
        <w:numPr>
          <w:ilvl w:val="0"/>
          <w:numId w:val="15"/>
        </w:numPr>
        <w:rPr>
          <w:b/>
        </w:rPr>
      </w:pPr>
      <w:r>
        <w:rPr>
          <w:b/>
        </w:rPr>
        <w:t>Calculate market volatility</w:t>
      </w:r>
    </w:p>
    <w:p w:rsidR="009F06CA" w:rsidRDefault="00D0425F">
      <w:pPr>
        <w:ind w:left="720"/>
      </w:pPr>
      <w:r>
        <w:t>60-day annualised volatility is calculated for each of the 12 monthly contracts.</w:t>
      </w:r>
    </w:p>
    <w:p w:rsidR="009F06CA" w:rsidRDefault="00D0425F">
      <w:pPr>
        <w:ind w:left="720"/>
      </w:pPr>
      <w:r>
        <w:t>The process for doing this is:</w:t>
      </w:r>
    </w:p>
    <w:p w:rsidR="009F06CA" w:rsidRDefault="00D0425F">
      <w:pPr>
        <w:numPr>
          <w:ilvl w:val="0"/>
          <w:numId w:val="14"/>
        </w:numPr>
        <w:spacing w:after="0"/>
      </w:pPr>
      <w:r>
        <w:t>Calculate the variance for each of the 60 days</w:t>
      </w:r>
      <w:r>
        <w:t>:</w:t>
      </w:r>
    </w:p>
    <w:p w:rsidR="009F06CA" w:rsidRDefault="00D0425F">
      <w:pPr>
        <w:numPr>
          <w:ilvl w:val="1"/>
          <w:numId w:val="14"/>
        </w:numPr>
        <w:spacing w:after="0"/>
      </w:pPr>
      <w:r>
        <w:t>Variance = Ln( price on current day / price on previous day )</w:t>
      </w:r>
    </w:p>
    <w:p w:rsidR="009F06CA" w:rsidRDefault="00D0425F">
      <w:pPr>
        <w:numPr>
          <w:ilvl w:val="1"/>
          <w:numId w:val="14"/>
        </w:numPr>
        <w:spacing w:after="0"/>
      </w:pPr>
      <w:r>
        <w:t>(‘Ln’ is the natural logarithm of a number)</w:t>
      </w:r>
    </w:p>
    <w:p w:rsidR="009F06CA" w:rsidRDefault="00D0425F">
      <w:pPr>
        <w:numPr>
          <w:ilvl w:val="0"/>
          <w:numId w:val="14"/>
        </w:numPr>
        <w:spacing w:after="0"/>
      </w:pPr>
      <w:r>
        <w:t>Take the standard deviation of the 60 variance figures</w:t>
      </w:r>
    </w:p>
    <w:p w:rsidR="009F06CA" w:rsidRDefault="00D0425F">
      <w:pPr>
        <w:numPr>
          <w:ilvl w:val="0"/>
          <w:numId w:val="14"/>
        </w:numPr>
        <w:spacing w:after="0"/>
      </w:pPr>
      <w:r>
        <w:t>Multiply the standard deviation by the square root of 252.</w:t>
      </w:r>
    </w:p>
    <w:p w:rsidR="009F06CA" w:rsidRDefault="00D0425F">
      <w:pPr>
        <w:numPr>
          <w:ilvl w:val="1"/>
          <w:numId w:val="14"/>
        </w:numPr>
      </w:pPr>
      <w:r>
        <w:t>252 is the assumed number of tradi</w:t>
      </w:r>
      <w:r>
        <w:t>ng days in a year.</w:t>
      </w:r>
    </w:p>
    <w:p w:rsidR="009F06CA" w:rsidRDefault="00D0425F">
      <w:pPr>
        <w:ind w:left="720"/>
      </w:pPr>
      <w:r>
        <w:t>This gives the annualised volatility calculated from the 60 observations.</w:t>
      </w:r>
    </w:p>
    <w:p w:rsidR="009F06CA" w:rsidRDefault="009F06CA">
      <w:pPr>
        <w:ind w:left="720"/>
      </w:pPr>
    </w:p>
    <w:p w:rsidR="009F06CA" w:rsidRDefault="00D0425F">
      <w:pPr>
        <w:numPr>
          <w:ilvl w:val="0"/>
          <w:numId w:val="15"/>
        </w:numPr>
      </w:pPr>
      <w:r>
        <w:rPr>
          <w:b/>
        </w:rPr>
        <w:t>Calculate the Cost-at-Risk for each month</w:t>
      </w:r>
    </w:p>
    <w:p w:rsidR="009F06CA" w:rsidRDefault="00D0425F">
      <w:pPr>
        <w:ind w:left="720"/>
      </w:pPr>
      <w:r>
        <w:t>The final step is to calculate the Cost-at-Risk for each of the 12 monthly positions that make up the basket.</w:t>
      </w:r>
    </w:p>
    <w:p w:rsidR="009F06CA" w:rsidRDefault="00D0425F">
      <w:pPr>
        <w:ind w:left="720"/>
      </w:pPr>
      <w:r>
        <w:t>To do this, the following factors are all multiplied together:</w:t>
      </w:r>
    </w:p>
    <w:p w:rsidR="009F06CA" w:rsidRDefault="00D0425F">
      <w:pPr>
        <w:numPr>
          <w:ilvl w:val="0"/>
          <w:numId w:val="17"/>
        </w:numPr>
        <w:spacing w:after="0"/>
      </w:pPr>
      <w:r>
        <w:t>The open value for the month</w:t>
      </w:r>
    </w:p>
    <w:p w:rsidR="009F06CA" w:rsidRDefault="00D0425F">
      <w:pPr>
        <w:numPr>
          <w:ilvl w:val="0"/>
          <w:numId w:val="17"/>
        </w:numPr>
        <w:spacing w:after="0"/>
      </w:pPr>
      <w:r>
        <w:t>The annualised volatility calculated in step 4 above</w:t>
      </w:r>
    </w:p>
    <w:p w:rsidR="009F06CA" w:rsidRDefault="00D0425F">
      <w:pPr>
        <w:numPr>
          <w:ilvl w:val="0"/>
          <w:numId w:val="17"/>
        </w:numPr>
        <w:spacing w:after="0"/>
      </w:pPr>
      <w:r>
        <w:t>The annualised holding period</w:t>
      </w:r>
    </w:p>
    <w:p w:rsidR="009F06CA" w:rsidRDefault="00D0425F">
      <w:pPr>
        <w:numPr>
          <w:ilvl w:val="1"/>
          <w:numId w:val="17"/>
        </w:numPr>
        <w:spacing w:after="0"/>
      </w:pPr>
      <w:r>
        <w:t>Divide the holding period by 252 and take the square root of the result</w:t>
      </w:r>
    </w:p>
    <w:p w:rsidR="009F06CA" w:rsidRDefault="00D0425F">
      <w:pPr>
        <w:numPr>
          <w:ilvl w:val="0"/>
          <w:numId w:val="17"/>
        </w:numPr>
        <w:spacing w:after="0"/>
      </w:pPr>
      <w:r>
        <w:t>The confidence interval multiplier</w:t>
      </w:r>
    </w:p>
    <w:p w:rsidR="009F06CA" w:rsidRDefault="00D0425F">
      <w:pPr>
        <w:numPr>
          <w:ilvl w:val="1"/>
          <w:numId w:val="17"/>
        </w:numPr>
        <w:spacing w:after="0"/>
      </w:pPr>
      <w:r>
        <w:t>1.645 = 90% confidence interval</w:t>
      </w:r>
    </w:p>
    <w:p w:rsidR="009F06CA" w:rsidRDefault="00D0425F">
      <w:pPr>
        <w:numPr>
          <w:ilvl w:val="0"/>
          <w:numId w:val="17"/>
        </w:numPr>
      </w:pPr>
      <w:r>
        <w:t>The close-out factor calculated with the formula on the previous page</w:t>
      </w:r>
    </w:p>
    <w:p w:rsidR="009F06CA" w:rsidRDefault="009F06CA"/>
    <w:p w:rsidR="009F06CA" w:rsidRDefault="00D0425F">
      <w:pPr>
        <w:rPr>
          <w:b/>
          <w:u w:val="single"/>
        </w:rPr>
      </w:pPr>
      <w:r>
        <w:rPr>
          <w:b/>
          <w:u w:val="single"/>
        </w:rPr>
        <w:t>CaR calculation example</w:t>
      </w:r>
    </w:p>
    <w:p w:rsidR="009F06CA" w:rsidRDefault="009F06CA"/>
    <w:p w:rsidR="009F06CA" w:rsidRDefault="00D0425F">
      <w:r>
        <w:t>The tables below demonstrate the calculation of CaR for a single month.</w:t>
      </w:r>
    </w:p>
    <w:p w:rsidR="009F06CA" w:rsidRDefault="00D0425F">
      <w:r>
        <w:t>For this example, a r</w:t>
      </w:r>
      <w:r>
        <w:t>emaining monthly value of £100k and a holding period of 2 days have been used. Prices are randomly generated. Most of the 60 days have been omitted from the price variance table below but were included in the standard deviation calculation.</w:t>
      </w:r>
    </w:p>
    <w:tbl>
      <w:tblPr>
        <w:tblStyle w:val="ab"/>
        <w:tblW w:w="9030" w:type="dxa"/>
        <w:tblBorders>
          <w:top w:val="nil"/>
          <w:left w:val="nil"/>
          <w:bottom w:val="nil"/>
          <w:right w:val="nil"/>
          <w:insideH w:val="nil"/>
          <w:insideV w:val="nil"/>
        </w:tblBorders>
        <w:tblLayout w:type="fixed"/>
        <w:tblLook w:val="0600" w:firstRow="0" w:lastRow="0" w:firstColumn="0" w:lastColumn="0" w:noHBand="1" w:noVBand="1"/>
      </w:tblPr>
      <w:tblGrid>
        <w:gridCol w:w="1806"/>
        <w:gridCol w:w="1806"/>
        <w:gridCol w:w="1806"/>
        <w:gridCol w:w="1806"/>
        <w:gridCol w:w="1806"/>
      </w:tblGrid>
      <w:tr w:rsidR="009F06CA">
        <w:trPr>
          <w:trHeight w:val="615"/>
        </w:trPr>
        <w:tc>
          <w:tcPr>
            <w:tcW w:w="1806" w:type="dxa"/>
            <w:tcBorders>
              <w:top w:val="single" w:sz="6" w:space="0" w:color="000000"/>
              <w:left w:val="single" w:sz="6" w:space="0" w:color="000000"/>
              <w:bottom w:val="single" w:sz="6" w:space="0" w:color="000000"/>
              <w:right w:val="single" w:sz="6" w:space="0" w:color="000000"/>
            </w:tcBorders>
            <w:shd w:val="clear" w:color="auto" w:fill="0070C0"/>
            <w:tcMar>
              <w:top w:w="0" w:type="dxa"/>
              <w:left w:w="40" w:type="dxa"/>
              <w:bottom w:w="0" w:type="dxa"/>
              <w:right w:w="40" w:type="dxa"/>
            </w:tcMar>
            <w:vAlign w:val="center"/>
          </w:tcPr>
          <w:p w:rsidR="009F06CA" w:rsidRDefault="00D0425F">
            <w:pPr>
              <w:widowControl w:val="0"/>
              <w:spacing w:after="0" w:line="276" w:lineRule="auto"/>
              <w:jc w:val="center"/>
            </w:pPr>
            <w:r>
              <w:rPr>
                <w:b/>
                <w:color w:val="FFFFFF"/>
                <w:sz w:val="20"/>
                <w:szCs w:val="20"/>
              </w:rPr>
              <w:t>Day</w:t>
            </w:r>
          </w:p>
        </w:tc>
        <w:tc>
          <w:tcPr>
            <w:tcW w:w="1806" w:type="dxa"/>
            <w:tcBorders>
              <w:top w:val="single" w:sz="6" w:space="0" w:color="000000"/>
              <w:left w:val="nil"/>
              <w:bottom w:val="single" w:sz="6" w:space="0" w:color="000000"/>
              <w:right w:val="single" w:sz="6" w:space="0" w:color="000000"/>
            </w:tcBorders>
            <w:shd w:val="clear" w:color="auto" w:fill="0070C0"/>
            <w:tcMar>
              <w:top w:w="0" w:type="dxa"/>
              <w:left w:w="40" w:type="dxa"/>
              <w:bottom w:w="0" w:type="dxa"/>
              <w:right w:w="40" w:type="dxa"/>
            </w:tcMar>
            <w:vAlign w:val="center"/>
          </w:tcPr>
          <w:p w:rsidR="009F06CA" w:rsidRDefault="00D0425F">
            <w:pPr>
              <w:widowControl w:val="0"/>
              <w:spacing w:after="0" w:line="276" w:lineRule="auto"/>
              <w:jc w:val="center"/>
              <w:rPr>
                <w:b/>
                <w:color w:val="FFFFFF"/>
                <w:sz w:val="20"/>
                <w:szCs w:val="20"/>
              </w:rPr>
            </w:pPr>
            <w:r>
              <w:rPr>
                <w:b/>
                <w:color w:val="FFFFFF"/>
                <w:sz w:val="20"/>
                <w:szCs w:val="20"/>
              </w:rPr>
              <w:t>Month</w:t>
            </w:r>
          </w:p>
          <w:p w:rsidR="009F06CA" w:rsidRDefault="00D0425F">
            <w:pPr>
              <w:widowControl w:val="0"/>
              <w:spacing w:after="0" w:line="276" w:lineRule="auto"/>
              <w:jc w:val="center"/>
            </w:pPr>
            <w:r>
              <w:rPr>
                <w:b/>
                <w:color w:val="FFFFFF"/>
                <w:sz w:val="20"/>
                <w:szCs w:val="20"/>
              </w:rPr>
              <w:t>contr</w:t>
            </w:r>
            <w:r>
              <w:rPr>
                <w:b/>
                <w:color w:val="FFFFFF"/>
                <w:sz w:val="20"/>
                <w:szCs w:val="20"/>
              </w:rPr>
              <w:t>act price</w:t>
            </w:r>
          </w:p>
        </w:tc>
        <w:tc>
          <w:tcPr>
            <w:tcW w:w="1806" w:type="dxa"/>
            <w:tcBorders>
              <w:top w:val="single" w:sz="6" w:space="0" w:color="000000"/>
              <w:left w:val="nil"/>
              <w:bottom w:val="single" w:sz="6" w:space="0" w:color="000000"/>
              <w:right w:val="single" w:sz="6" w:space="0" w:color="000000"/>
            </w:tcBorders>
            <w:shd w:val="clear" w:color="auto" w:fill="0070C0"/>
            <w:tcMar>
              <w:top w:w="0" w:type="dxa"/>
              <w:left w:w="40" w:type="dxa"/>
              <w:bottom w:w="0" w:type="dxa"/>
              <w:right w:w="40" w:type="dxa"/>
            </w:tcMar>
            <w:vAlign w:val="center"/>
          </w:tcPr>
          <w:p w:rsidR="009F06CA" w:rsidRDefault="00D0425F">
            <w:pPr>
              <w:widowControl w:val="0"/>
              <w:spacing w:after="0" w:line="276" w:lineRule="auto"/>
              <w:jc w:val="center"/>
              <w:rPr>
                <w:b/>
                <w:color w:val="FFFFFF"/>
                <w:sz w:val="20"/>
                <w:szCs w:val="20"/>
              </w:rPr>
            </w:pPr>
            <w:r>
              <w:rPr>
                <w:b/>
                <w:color w:val="FFFFFF"/>
                <w:sz w:val="20"/>
                <w:szCs w:val="20"/>
              </w:rPr>
              <w:t>Month</w:t>
            </w:r>
          </w:p>
          <w:p w:rsidR="009F06CA" w:rsidRDefault="00D0425F">
            <w:pPr>
              <w:widowControl w:val="0"/>
              <w:spacing w:after="0" w:line="276" w:lineRule="auto"/>
              <w:jc w:val="center"/>
            </w:pPr>
            <w:r>
              <w:rPr>
                <w:b/>
                <w:color w:val="FFFFFF"/>
                <w:sz w:val="20"/>
                <w:szCs w:val="20"/>
              </w:rPr>
              <w:t>contract variance</w:t>
            </w:r>
          </w:p>
        </w:tc>
        <w:tc>
          <w:tcPr>
            <w:tcW w:w="1806" w:type="dxa"/>
            <w:tcBorders>
              <w:top w:val="single" w:sz="6" w:space="0" w:color="000000"/>
              <w:left w:val="nil"/>
              <w:bottom w:val="single" w:sz="6" w:space="0" w:color="000000"/>
              <w:right w:val="single" w:sz="6" w:space="0" w:color="000000"/>
            </w:tcBorders>
            <w:shd w:val="clear" w:color="auto" w:fill="0070C0"/>
            <w:tcMar>
              <w:top w:w="0" w:type="dxa"/>
              <w:left w:w="40" w:type="dxa"/>
              <w:bottom w:w="0" w:type="dxa"/>
              <w:right w:w="40" w:type="dxa"/>
            </w:tcMar>
            <w:vAlign w:val="center"/>
          </w:tcPr>
          <w:p w:rsidR="009F06CA" w:rsidRDefault="00D0425F">
            <w:pPr>
              <w:widowControl w:val="0"/>
              <w:spacing w:after="0" w:line="276" w:lineRule="auto"/>
              <w:jc w:val="center"/>
              <w:rPr>
                <w:b/>
                <w:color w:val="FFFFFF"/>
                <w:sz w:val="20"/>
                <w:szCs w:val="20"/>
              </w:rPr>
            </w:pPr>
            <w:r>
              <w:rPr>
                <w:b/>
                <w:color w:val="FFFFFF"/>
                <w:sz w:val="20"/>
                <w:szCs w:val="20"/>
              </w:rPr>
              <w:t>Standard</w:t>
            </w:r>
          </w:p>
          <w:p w:rsidR="009F06CA" w:rsidRDefault="00D0425F">
            <w:pPr>
              <w:widowControl w:val="0"/>
              <w:spacing w:after="0" w:line="276" w:lineRule="auto"/>
              <w:jc w:val="center"/>
            </w:pPr>
            <w:r>
              <w:rPr>
                <w:b/>
                <w:color w:val="FFFFFF"/>
                <w:sz w:val="20"/>
                <w:szCs w:val="20"/>
              </w:rPr>
              <w:t>deviation</w:t>
            </w:r>
          </w:p>
        </w:tc>
        <w:tc>
          <w:tcPr>
            <w:tcW w:w="1806" w:type="dxa"/>
            <w:tcBorders>
              <w:top w:val="single" w:sz="6" w:space="0" w:color="000000"/>
              <w:left w:val="nil"/>
              <w:bottom w:val="single" w:sz="6" w:space="0" w:color="000000"/>
              <w:right w:val="single" w:sz="6" w:space="0" w:color="000000"/>
            </w:tcBorders>
            <w:shd w:val="clear" w:color="auto" w:fill="0070C0"/>
            <w:tcMar>
              <w:top w:w="0" w:type="dxa"/>
              <w:left w:w="40" w:type="dxa"/>
              <w:bottom w:w="0" w:type="dxa"/>
              <w:right w:w="40" w:type="dxa"/>
            </w:tcMar>
            <w:vAlign w:val="center"/>
          </w:tcPr>
          <w:p w:rsidR="009F06CA" w:rsidRDefault="00D0425F">
            <w:pPr>
              <w:widowControl w:val="0"/>
              <w:spacing w:after="0" w:line="276" w:lineRule="auto"/>
              <w:jc w:val="center"/>
              <w:rPr>
                <w:b/>
                <w:color w:val="FFFFFF"/>
                <w:sz w:val="20"/>
                <w:szCs w:val="20"/>
              </w:rPr>
            </w:pPr>
            <w:r>
              <w:rPr>
                <w:b/>
                <w:color w:val="FFFFFF"/>
                <w:sz w:val="20"/>
                <w:szCs w:val="20"/>
              </w:rPr>
              <w:t>Annualised</w:t>
            </w:r>
          </w:p>
          <w:p w:rsidR="009F06CA" w:rsidRDefault="00D0425F">
            <w:pPr>
              <w:widowControl w:val="0"/>
              <w:spacing w:after="0" w:line="276" w:lineRule="auto"/>
              <w:jc w:val="center"/>
            </w:pPr>
            <w:r>
              <w:rPr>
                <w:b/>
                <w:color w:val="FFFFFF"/>
                <w:sz w:val="20"/>
                <w:szCs w:val="20"/>
              </w:rPr>
              <w:t>volatility</w:t>
            </w:r>
          </w:p>
        </w:tc>
      </w:tr>
      <w:tr w:rsidR="009F06CA">
        <w:trPr>
          <w:trHeight w:val="300"/>
        </w:trPr>
        <w:tc>
          <w:tcPr>
            <w:tcW w:w="1806" w:type="dxa"/>
            <w:tcBorders>
              <w:top w:val="nil"/>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lastRenderedPageBreak/>
              <w:t>-60</w:t>
            </w:r>
          </w:p>
        </w:tc>
        <w:tc>
          <w:tcPr>
            <w:tcW w:w="1806" w:type="dxa"/>
            <w:tcBorders>
              <w:top w:val="nil"/>
              <w:left w:val="nil"/>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50.00</w:t>
            </w:r>
          </w:p>
        </w:tc>
        <w:tc>
          <w:tcPr>
            <w:tcW w:w="1806" w:type="dxa"/>
            <w:tcBorders>
              <w:top w:val="nil"/>
              <w:left w:val="nil"/>
              <w:bottom w:val="single" w:sz="6" w:space="0" w:color="000000"/>
              <w:right w:val="single" w:sz="6" w:space="0" w:color="000000"/>
            </w:tcBorders>
            <w:shd w:val="clear" w:color="auto" w:fill="D8D8D8"/>
            <w:tcMar>
              <w:top w:w="0" w:type="dxa"/>
              <w:left w:w="40" w:type="dxa"/>
              <w:bottom w:w="0" w:type="dxa"/>
              <w:right w:w="40" w:type="dxa"/>
            </w:tcMar>
            <w:vAlign w:val="center"/>
          </w:tcPr>
          <w:p w:rsidR="009F06CA" w:rsidRDefault="009F06CA">
            <w:pPr>
              <w:widowControl w:val="0"/>
              <w:spacing w:after="0" w:line="276" w:lineRule="auto"/>
            </w:pPr>
          </w:p>
        </w:tc>
        <w:tc>
          <w:tcPr>
            <w:tcW w:w="1806" w:type="dxa"/>
            <w:tcBorders>
              <w:top w:val="nil"/>
              <w:left w:val="nil"/>
              <w:bottom w:val="single" w:sz="6" w:space="0" w:color="000000"/>
              <w:right w:val="single" w:sz="6" w:space="0" w:color="000000"/>
            </w:tcBorders>
            <w:shd w:val="clear" w:color="auto" w:fill="D8D8D8"/>
            <w:tcMar>
              <w:top w:w="0" w:type="dxa"/>
              <w:left w:w="40" w:type="dxa"/>
              <w:bottom w:w="0" w:type="dxa"/>
              <w:right w:w="40" w:type="dxa"/>
            </w:tcMar>
            <w:vAlign w:val="center"/>
          </w:tcPr>
          <w:p w:rsidR="009F06CA" w:rsidRDefault="009F06CA">
            <w:pPr>
              <w:widowControl w:val="0"/>
              <w:spacing w:after="0" w:line="276" w:lineRule="auto"/>
            </w:pPr>
          </w:p>
        </w:tc>
        <w:tc>
          <w:tcPr>
            <w:tcW w:w="1806" w:type="dxa"/>
            <w:tcBorders>
              <w:top w:val="nil"/>
              <w:left w:val="nil"/>
              <w:bottom w:val="single" w:sz="6" w:space="0" w:color="000000"/>
              <w:right w:val="single" w:sz="6" w:space="0" w:color="000000"/>
            </w:tcBorders>
            <w:shd w:val="clear" w:color="auto" w:fill="D8D8D8"/>
            <w:tcMar>
              <w:top w:w="0" w:type="dxa"/>
              <w:left w:w="40" w:type="dxa"/>
              <w:bottom w:w="0" w:type="dxa"/>
              <w:right w:w="40" w:type="dxa"/>
            </w:tcMar>
            <w:vAlign w:val="center"/>
          </w:tcPr>
          <w:p w:rsidR="009F06CA" w:rsidRDefault="009F06CA">
            <w:pPr>
              <w:widowControl w:val="0"/>
              <w:spacing w:after="0" w:line="276" w:lineRule="auto"/>
            </w:pPr>
          </w:p>
        </w:tc>
      </w:tr>
      <w:tr w:rsidR="009F06CA">
        <w:trPr>
          <w:trHeight w:val="300"/>
        </w:trPr>
        <w:tc>
          <w:tcPr>
            <w:tcW w:w="1806" w:type="dxa"/>
            <w:tcBorders>
              <w:top w:val="nil"/>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-59</w:t>
            </w:r>
          </w:p>
        </w:tc>
        <w:tc>
          <w:tcPr>
            <w:tcW w:w="1806" w:type="dxa"/>
            <w:tcBorders>
              <w:top w:val="nil"/>
              <w:left w:val="nil"/>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50.20</w:t>
            </w:r>
          </w:p>
        </w:tc>
        <w:tc>
          <w:tcPr>
            <w:tcW w:w="1806" w:type="dxa"/>
            <w:tcBorders>
              <w:top w:val="nil"/>
              <w:left w:val="nil"/>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0.4%</w:t>
            </w:r>
          </w:p>
        </w:tc>
        <w:tc>
          <w:tcPr>
            <w:tcW w:w="1806" w:type="dxa"/>
            <w:tcBorders>
              <w:top w:val="nil"/>
              <w:left w:val="nil"/>
              <w:bottom w:val="single" w:sz="6" w:space="0" w:color="000000"/>
              <w:right w:val="single" w:sz="6" w:space="0" w:color="000000"/>
            </w:tcBorders>
            <w:shd w:val="clear" w:color="auto" w:fill="D8D8D8"/>
            <w:tcMar>
              <w:top w:w="0" w:type="dxa"/>
              <w:left w:w="40" w:type="dxa"/>
              <w:bottom w:w="0" w:type="dxa"/>
              <w:right w:w="40" w:type="dxa"/>
            </w:tcMar>
            <w:vAlign w:val="center"/>
          </w:tcPr>
          <w:p w:rsidR="009F06CA" w:rsidRDefault="009F06CA">
            <w:pPr>
              <w:widowControl w:val="0"/>
              <w:spacing w:after="0" w:line="276" w:lineRule="auto"/>
            </w:pPr>
          </w:p>
        </w:tc>
        <w:tc>
          <w:tcPr>
            <w:tcW w:w="1806" w:type="dxa"/>
            <w:tcBorders>
              <w:top w:val="nil"/>
              <w:left w:val="nil"/>
              <w:bottom w:val="single" w:sz="6" w:space="0" w:color="000000"/>
              <w:right w:val="single" w:sz="6" w:space="0" w:color="000000"/>
            </w:tcBorders>
            <w:shd w:val="clear" w:color="auto" w:fill="D8D8D8"/>
            <w:tcMar>
              <w:top w:w="0" w:type="dxa"/>
              <w:left w:w="40" w:type="dxa"/>
              <w:bottom w:w="0" w:type="dxa"/>
              <w:right w:w="40" w:type="dxa"/>
            </w:tcMar>
            <w:vAlign w:val="center"/>
          </w:tcPr>
          <w:p w:rsidR="009F06CA" w:rsidRDefault="009F06CA">
            <w:pPr>
              <w:widowControl w:val="0"/>
              <w:spacing w:after="0" w:line="276" w:lineRule="auto"/>
            </w:pPr>
          </w:p>
        </w:tc>
      </w:tr>
      <w:tr w:rsidR="009F06CA">
        <w:trPr>
          <w:trHeight w:val="300"/>
        </w:trPr>
        <w:tc>
          <w:tcPr>
            <w:tcW w:w="1806" w:type="dxa"/>
            <w:tcBorders>
              <w:top w:val="nil"/>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-58</w:t>
            </w:r>
          </w:p>
        </w:tc>
        <w:tc>
          <w:tcPr>
            <w:tcW w:w="1806" w:type="dxa"/>
            <w:tcBorders>
              <w:top w:val="nil"/>
              <w:left w:val="nil"/>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49.80</w:t>
            </w:r>
          </w:p>
        </w:tc>
        <w:tc>
          <w:tcPr>
            <w:tcW w:w="1806" w:type="dxa"/>
            <w:tcBorders>
              <w:top w:val="nil"/>
              <w:left w:val="nil"/>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-0.8%</w:t>
            </w:r>
          </w:p>
        </w:tc>
        <w:tc>
          <w:tcPr>
            <w:tcW w:w="1806" w:type="dxa"/>
            <w:tcBorders>
              <w:top w:val="nil"/>
              <w:left w:val="nil"/>
              <w:bottom w:val="single" w:sz="6" w:space="0" w:color="000000"/>
              <w:right w:val="single" w:sz="6" w:space="0" w:color="000000"/>
            </w:tcBorders>
            <w:shd w:val="clear" w:color="auto" w:fill="D8D8D8"/>
            <w:tcMar>
              <w:top w:w="0" w:type="dxa"/>
              <w:left w:w="40" w:type="dxa"/>
              <w:bottom w:w="0" w:type="dxa"/>
              <w:right w:w="40" w:type="dxa"/>
            </w:tcMar>
            <w:vAlign w:val="center"/>
          </w:tcPr>
          <w:p w:rsidR="009F06CA" w:rsidRDefault="009F06CA">
            <w:pPr>
              <w:widowControl w:val="0"/>
              <w:spacing w:after="0" w:line="276" w:lineRule="auto"/>
            </w:pPr>
          </w:p>
        </w:tc>
        <w:tc>
          <w:tcPr>
            <w:tcW w:w="1806" w:type="dxa"/>
            <w:tcBorders>
              <w:top w:val="nil"/>
              <w:left w:val="nil"/>
              <w:bottom w:val="single" w:sz="6" w:space="0" w:color="000000"/>
              <w:right w:val="single" w:sz="6" w:space="0" w:color="000000"/>
            </w:tcBorders>
            <w:shd w:val="clear" w:color="auto" w:fill="D8D8D8"/>
            <w:tcMar>
              <w:top w:w="0" w:type="dxa"/>
              <w:left w:w="40" w:type="dxa"/>
              <w:bottom w:w="0" w:type="dxa"/>
              <w:right w:w="40" w:type="dxa"/>
            </w:tcMar>
            <w:vAlign w:val="center"/>
          </w:tcPr>
          <w:p w:rsidR="009F06CA" w:rsidRDefault="009F06CA">
            <w:pPr>
              <w:widowControl w:val="0"/>
              <w:spacing w:after="0" w:line="276" w:lineRule="auto"/>
            </w:pPr>
          </w:p>
        </w:tc>
      </w:tr>
      <w:tr w:rsidR="009F06CA">
        <w:trPr>
          <w:trHeight w:val="300"/>
        </w:trPr>
        <w:tc>
          <w:tcPr>
            <w:tcW w:w="1806" w:type="dxa"/>
            <w:tcBorders>
              <w:top w:val="nil"/>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w:t>
            </w:r>
          </w:p>
        </w:tc>
        <w:tc>
          <w:tcPr>
            <w:tcW w:w="1806" w:type="dxa"/>
            <w:tcBorders>
              <w:top w:val="nil"/>
              <w:left w:val="nil"/>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w:t>
            </w:r>
          </w:p>
        </w:tc>
        <w:tc>
          <w:tcPr>
            <w:tcW w:w="1806" w:type="dxa"/>
            <w:tcBorders>
              <w:top w:val="nil"/>
              <w:left w:val="nil"/>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w:t>
            </w:r>
          </w:p>
        </w:tc>
        <w:tc>
          <w:tcPr>
            <w:tcW w:w="1806" w:type="dxa"/>
            <w:tcBorders>
              <w:top w:val="nil"/>
              <w:left w:val="nil"/>
              <w:bottom w:val="single" w:sz="6" w:space="0" w:color="000000"/>
              <w:right w:val="single" w:sz="6" w:space="0" w:color="000000"/>
            </w:tcBorders>
            <w:shd w:val="clear" w:color="auto" w:fill="D8D8D8"/>
            <w:tcMar>
              <w:top w:w="0" w:type="dxa"/>
              <w:left w:w="40" w:type="dxa"/>
              <w:bottom w:w="0" w:type="dxa"/>
              <w:right w:w="40" w:type="dxa"/>
            </w:tcMar>
            <w:vAlign w:val="center"/>
          </w:tcPr>
          <w:p w:rsidR="009F06CA" w:rsidRDefault="009F06CA">
            <w:pPr>
              <w:widowControl w:val="0"/>
              <w:spacing w:after="0" w:line="276" w:lineRule="auto"/>
            </w:pPr>
          </w:p>
        </w:tc>
        <w:tc>
          <w:tcPr>
            <w:tcW w:w="1806" w:type="dxa"/>
            <w:tcBorders>
              <w:top w:val="nil"/>
              <w:left w:val="nil"/>
              <w:bottom w:val="single" w:sz="6" w:space="0" w:color="000000"/>
              <w:right w:val="single" w:sz="6" w:space="0" w:color="000000"/>
            </w:tcBorders>
            <w:shd w:val="clear" w:color="auto" w:fill="D8D8D8"/>
            <w:tcMar>
              <w:top w:w="0" w:type="dxa"/>
              <w:left w:w="40" w:type="dxa"/>
              <w:bottom w:w="0" w:type="dxa"/>
              <w:right w:w="40" w:type="dxa"/>
            </w:tcMar>
            <w:vAlign w:val="center"/>
          </w:tcPr>
          <w:p w:rsidR="009F06CA" w:rsidRDefault="009F06CA">
            <w:pPr>
              <w:widowControl w:val="0"/>
              <w:spacing w:after="0" w:line="276" w:lineRule="auto"/>
            </w:pPr>
          </w:p>
        </w:tc>
      </w:tr>
      <w:tr w:rsidR="009F06CA">
        <w:trPr>
          <w:trHeight w:val="315"/>
        </w:trPr>
        <w:tc>
          <w:tcPr>
            <w:tcW w:w="1806" w:type="dxa"/>
            <w:tcBorders>
              <w:top w:val="nil"/>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-3</w:t>
            </w:r>
          </w:p>
        </w:tc>
        <w:tc>
          <w:tcPr>
            <w:tcW w:w="1806" w:type="dxa"/>
            <w:tcBorders>
              <w:top w:val="nil"/>
              <w:left w:val="nil"/>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50.70</w:t>
            </w:r>
          </w:p>
        </w:tc>
        <w:tc>
          <w:tcPr>
            <w:tcW w:w="1806" w:type="dxa"/>
            <w:tcBorders>
              <w:top w:val="nil"/>
              <w:left w:val="nil"/>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1.0%</w:t>
            </w:r>
          </w:p>
        </w:tc>
        <w:tc>
          <w:tcPr>
            <w:tcW w:w="1806" w:type="dxa"/>
            <w:tcBorders>
              <w:top w:val="nil"/>
              <w:left w:val="nil"/>
              <w:bottom w:val="single" w:sz="6" w:space="0" w:color="000000"/>
              <w:right w:val="single" w:sz="6" w:space="0" w:color="000000"/>
            </w:tcBorders>
            <w:shd w:val="clear" w:color="auto" w:fill="D8D8D8"/>
            <w:tcMar>
              <w:top w:w="0" w:type="dxa"/>
              <w:left w:w="40" w:type="dxa"/>
              <w:bottom w:w="0" w:type="dxa"/>
              <w:right w:w="40" w:type="dxa"/>
            </w:tcMar>
            <w:vAlign w:val="center"/>
          </w:tcPr>
          <w:p w:rsidR="009F06CA" w:rsidRDefault="009F06CA">
            <w:pPr>
              <w:widowControl w:val="0"/>
              <w:spacing w:after="0" w:line="276" w:lineRule="auto"/>
            </w:pPr>
          </w:p>
        </w:tc>
        <w:tc>
          <w:tcPr>
            <w:tcW w:w="1806" w:type="dxa"/>
            <w:tcBorders>
              <w:top w:val="nil"/>
              <w:left w:val="nil"/>
              <w:bottom w:val="single" w:sz="6" w:space="0" w:color="000000"/>
              <w:right w:val="single" w:sz="6" w:space="0" w:color="000000"/>
            </w:tcBorders>
            <w:shd w:val="clear" w:color="auto" w:fill="D8D8D8"/>
            <w:tcMar>
              <w:top w:w="0" w:type="dxa"/>
              <w:left w:w="40" w:type="dxa"/>
              <w:bottom w:w="0" w:type="dxa"/>
              <w:right w:w="40" w:type="dxa"/>
            </w:tcMar>
            <w:vAlign w:val="center"/>
          </w:tcPr>
          <w:p w:rsidR="009F06CA" w:rsidRDefault="009F06CA">
            <w:pPr>
              <w:widowControl w:val="0"/>
              <w:spacing w:after="0" w:line="276" w:lineRule="auto"/>
            </w:pPr>
          </w:p>
        </w:tc>
      </w:tr>
      <w:tr w:rsidR="009F06CA">
        <w:trPr>
          <w:trHeight w:val="315"/>
        </w:trPr>
        <w:tc>
          <w:tcPr>
            <w:tcW w:w="1806" w:type="dxa"/>
            <w:tcBorders>
              <w:top w:val="nil"/>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-2</w:t>
            </w:r>
          </w:p>
        </w:tc>
        <w:tc>
          <w:tcPr>
            <w:tcW w:w="1806" w:type="dxa"/>
            <w:tcBorders>
              <w:top w:val="nil"/>
              <w:left w:val="nil"/>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50.40</w:t>
            </w:r>
          </w:p>
        </w:tc>
        <w:tc>
          <w:tcPr>
            <w:tcW w:w="1806" w:type="dxa"/>
            <w:tcBorders>
              <w:top w:val="nil"/>
              <w:left w:val="nil"/>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-0.6%</w:t>
            </w:r>
          </w:p>
        </w:tc>
        <w:tc>
          <w:tcPr>
            <w:tcW w:w="1806" w:type="dxa"/>
            <w:tcBorders>
              <w:top w:val="nil"/>
              <w:left w:val="nil"/>
              <w:bottom w:val="single" w:sz="6" w:space="0" w:color="000000"/>
              <w:right w:val="single" w:sz="6" w:space="0" w:color="000000"/>
            </w:tcBorders>
            <w:shd w:val="clear" w:color="auto" w:fill="D8D8D8"/>
            <w:tcMar>
              <w:top w:w="0" w:type="dxa"/>
              <w:left w:w="40" w:type="dxa"/>
              <w:bottom w:w="0" w:type="dxa"/>
              <w:right w:w="40" w:type="dxa"/>
            </w:tcMar>
            <w:vAlign w:val="center"/>
          </w:tcPr>
          <w:p w:rsidR="009F06CA" w:rsidRDefault="009F06CA">
            <w:pPr>
              <w:widowControl w:val="0"/>
              <w:spacing w:after="0" w:line="276" w:lineRule="auto"/>
            </w:pPr>
          </w:p>
        </w:tc>
        <w:tc>
          <w:tcPr>
            <w:tcW w:w="1806" w:type="dxa"/>
            <w:tcBorders>
              <w:top w:val="nil"/>
              <w:left w:val="nil"/>
              <w:bottom w:val="single" w:sz="6" w:space="0" w:color="000000"/>
              <w:right w:val="single" w:sz="6" w:space="0" w:color="000000"/>
            </w:tcBorders>
            <w:shd w:val="clear" w:color="auto" w:fill="D8D8D8"/>
            <w:tcMar>
              <w:top w:w="0" w:type="dxa"/>
              <w:left w:w="40" w:type="dxa"/>
              <w:bottom w:w="0" w:type="dxa"/>
              <w:right w:w="40" w:type="dxa"/>
            </w:tcMar>
            <w:vAlign w:val="center"/>
          </w:tcPr>
          <w:p w:rsidR="009F06CA" w:rsidRDefault="009F06CA">
            <w:pPr>
              <w:widowControl w:val="0"/>
              <w:spacing w:after="0" w:line="276" w:lineRule="auto"/>
            </w:pPr>
          </w:p>
        </w:tc>
      </w:tr>
      <w:tr w:rsidR="009F06CA">
        <w:trPr>
          <w:trHeight w:val="315"/>
        </w:trPr>
        <w:tc>
          <w:tcPr>
            <w:tcW w:w="1806" w:type="dxa"/>
            <w:tcBorders>
              <w:top w:val="nil"/>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-1</w:t>
            </w:r>
          </w:p>
        </w:tc>
        <w:tc>
          <w:tcPr>
            <w:tcW w:w="1806" w:type="dxa"/>
            <w:tcBorders>
              <w:top w:val="nil"/>
              <w:left w:val="nil"/>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50.70</w:t>
            </w:r>
          </w:p>
        </w:tc>
        <w:tc>
          <w:tcPr>
            <w:tcW w:w="1806" w:type="dxa"/>
            <w:tcBorders>
              <w:top w:val="nil"/>
              <w:left w:val="nil"/>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0.6%</w:t>
            </w:r>
          </w:p>
        </w:tc>
        <w:tc>
          <w:tcPr>
            <w:tcW w:w="1806" w:type="dxa"/>
            <w:tcBorders>
              <w:top w:val="nil"/>
              <w:left w:val="nil"/>
              <w:bottom w:val="single" w:sz="6" w:space="0" w:color="000000"/>
              <w:right w:val="single" w:sz="6" w:space="0" w:color="000000"/>
            </w:tcBorders>
            <w:shd w:val="clear" w:color="auto" w:fill="D8D8D8"/>
            <w:tcMar>
              <w:top w:w="0" w:type="dxa"/>
              <w:left w:w="40" w:type="dxa"/>
              <w:bottom w:w="0" w:type="dxa"/>
              <w:right w:w="40" w:type="dxa"/>
            </w:tcMar>
            <w:vAlign w:val="center"/>
          </w:tcPr>
          <w:p w:rsidR="009F06CA" w:rsidRDefault="009F06CA">
            <w:pPr>
              <w:widowControl w:val="0"/>
              <w:spacing w:after="0" w:line="276" w:lineRule="auto"/>
            </w:pPr>
          </w:p>
        </w:tc>
        <w:tc>
          <w:tcPr>
            <w:tcW w:w="1806" w:type="dxa"/>
            <w:tcBorders>
              <w:top w:val="nil"/>
              <w:left w:val="nil"/>
              <w:bottom w:val="single" w:sz="6" w:space="0" w:color="000000"/>
              <w:right w:val="single" w:sz="6" w:space="0" w:color="000000"/>
            </w:tcBorders>
            <w:shd w:val="clear" w:color="auto" w:fill="D8D8D8"/>
            <w:tcMar>
              <w:top w:w="0" w:type="dxa"/>
              <w:left w:w="40" w:type="dxa"/>
              <w:bottom w:w="0" w:type="dxa"/>
              <w:right w:w="40" w:type="dxa"/>
            </w:tcMar>
            <w:vAlign w:val="center"/>
          </w:tcPr>
          <w:p w:rsidR="009F06CA" w:rsidRDefault="009F06CA">
            <w:pPr>
              <w:widowControl w:val="0"/>
              <w:spacing w:after="0" w:line="276" w:lineRule="auto"/>
            </w:pPr>
          </w:p>
        </w:tc>
      </w:tr>
      <w:tr w:rsidR="009F06CA">
        <w:trPr>
          <w:trHeight w:val="315"/>
        </w:trPr>
        <w:tc>
          <w:tcPr>
            <w:tcW w:w="1806" w:type="dxa"/>
            <w:tcBorders>
              <w:top w:val="nil"/>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0</w:t>
            </w:r>
          </w:p>
        </w:tc>
        <w:tc>
          <w:tcPr>
            <w:tcW w:w="1806" w:type="dxa"/>
            <w:tcBorders>
              <w:top w:val="nil"/>
              <w:left w:val="nil"/>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51.00</w:t>
            </w:r>
          </w:p>
        </w:tc>
        <w:tc>
          <w:tcPr>
            <w:tcW w:w="1806" w:type="dxa"/>
            <w:tcBorders>
              <w:top w:val="nil"/>
              <w:left w:val="nil"/>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0.6%</w:t>
            </w:r>
          </w:p>
        </w:tc>
        <w:tc>
          <w:tcPr>
            <w:tcW w:w="1806" w:type="dxa"/>
            <w:tcBorders>
              <w:top w:val="nil"/>
              <w:left w:val="nil"/>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0.6%</w:t>
            </w:r>
          </w:p>
        </w:tc>
        <w:tc>
          <w:tcPr>
            <w:tcW w:w="1806" w:type="dxa"/>
            <w:tcBorders>
              <w:top w:val="nil"/>
              <w:left w:val="nil"/>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center"/>
            </w:pPr>
            <w:r>
              <w:rPr>
                <w:sz w:val="20"/>
                <w:szCs w:val="20"/>
              </w:rPr>
              <w:t>9.7%</w:t>
            </w:r>
          </w:p>
        </w:tc>
      </w:tr>
      <w:tr w:rsidR="009F06CA">
        <w:trPr>
          <w:trHeight w:val="3150"/>
        </w:trPr>
        <w:tc>
          <w:tcPr>
            <w:tcW w:w="1806" w:type="dxa"/>
            <w:tcBorders>
              <w:top w:val="nil"/>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pPr>
            <w:r>
              <w:rPr>
                <w:sz w:val="20"/>
                <w:szCs w:val="20"/>
              </w:rPr>
              <w:t>Day 0 is the day for which volatility is being calculated.</w:t>
            </w:r>
          </w:p>
        </w:tc>
        <w:tc>
          <w:tcPr>
            <w:tcW w:w="1806" w:type="dxa"/>
            <w:tcBorders>
              <w:top w:val="nil"/>
              <w:left w:val="nil"/>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pPr>
            <w:r>
              <w:rPr>
                <w:sz w:val="20"/>
                <w:szCs w:val="20"/>
              </w:rPr>
              <w:t>60 days of price observations for the monthly contract</w:t>
            </w:r>
          </w:p>
        </w:tc>
        <w:tc>
          <w:tcPr>
            <w:tcW w:w="1806" w:type="dxa"/>
            <w:tcBorders>
              <w:top w:val="nil"/>
              <w:left w:val="nil"/>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rPr>
                <w:sz w:val="20"/>
                <w:szCs w:val="20"/>
              </w:rPr>
            </w:pPr>
            <w:r>
              <w:rPr>
                <w:sz w:val="20"/>
                <w:szCs w:val="20"/>
              </w:rPr>
              <w:t>Variance of each day’s price compared to the previous day's price.</w:t>
            </w:r>
          </w:p>
          <w:p w:rsidR="009F06CA" w:rsidRDefault="009F06CA">
            <w:pPr>
              <w:widowControl w:val="0"/>
              <w:spacing w:after="0" w:line="276" w:lineRule="auto"/>
              <w:rPr>
                <w:sz w:val="20"/>
                <w:szCs w:val="20"/>
              </w:rPr>
            </w:pPr>
          </w:p>
          <w:p w:rsidR="009F06CA" w:rsidRDefault="00D0425F">
            <w:pPr>
              <w:widowControl w:val="0"/>
              <w:spacing w:after="0" w:line="276" w:lineRule="auto"/>
            </w:pPr>
            <w:r>
              <w:rPr>
                <w:sz w:val="20"/>
                <w:szCs w:val="20"/>
              </w:rPr>
              <w:t>For example:. variance on day 0 is Ln(day 0/day 1) where Ln is the natural</w:t>
            </w:r>
            <w:r>
              <w:rPr>
                <w:sz w:val="20"/>
                <w:szCs w:val="20"/>
              </w:rPr>
              <w:t xml:space="preserve"> logarithm.</w:t>
            </w:r>
          </w:p>
        </w:tc>
        <w:tc>
          <w:tcPr>
            <w:tcW w:w="1806" w:type="dxa"/>
            <w:tcBorders>
              <w:top w:val="nil"/>
              <w:left w:val="nil"/>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pPr>
            <w:r>
              <w:rPr>
                <w:sz w:val="20"/>
                <w:szCs w:val="20"/>
              </w:rPr>
              <w:t>Standard deviation of the 60 variances</w:t>
            </w:r>
          </w:p>
        </w:tc>
        <w:tc>
          <w:tcPr>
            <w:tcW w:w="1806" w:type="dxa"/>
            <w:tcBorders>
              <w:top w:val="nil"/>
              <w:left w:val="nil"/>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pPr>
            <w:r>
              <w:rPr>
                <w:sz w:val="20"/>
                <w:szCs w:val="20"/>
              </w:rPr>
              <w:t>Annualised volatility: standard deviation of the 60 days variances multiplied by the square root of 252.</w:t>
            </w:r>
          </w:p>
        </w:tc>
      </w:tr>
      <w:tr w:rsidR="009F06CA">
        <w:trPr>
          <w:trHeight w:val="315"/>
        </w:trPr>
        <w:tc>
          <w:tcPr>
            <w:tcW w:w="1806" w:type="dxa"/>
            <w:tcBorders>
              <w:top w:val="nil"/>
              <w:left w:val="nil"/>
              <w:bottom w:val="single" w:sz="6" w:space="0" w:color="000000"/>
              <w:right w:val="nil"/>
            </w:tcBorders>
            <w:tcMar>
              <w:top w:w="0" w:type="dxa"/>
              <w:left w:w="40" w:type="dxa"/>
              <w:bottom w:w="0" w:type="dxa"/>
              <w:right w:w="40" w:type="dxa"/>
            </w:tcMar>
            <w:vAlign w:val="center"/>
          </w:tcPr>
          <w:p w:rsidR="009F06CA" w:rsidRDefault="009F06CA">
            <w:pPr>
              <w:widowControl w:val="0"/>
              <w:spacing w:after="0" w:line="276" w:lineRule="auto"/>
            </w:pPr>
          </w:p>
        </w:tc>
        <w:tc>
          <w:tcPr>
            <w:tcW w:w="1806" w:type="dxa"/>
            <w:tcBorders>
              <w:top w:val="nil"/>
              <w:left w:val="nil"/>
              <w:bottom w:val="single" w:sz="6" w:space="0" w:color="000000"/>
              <w:right w:val="nil"/>
            </w:tcBorders>
            <w:tcMar>
              <w:top w:w="0" w:type="dxa"/>
              <w:left w:w="40" w:type="dxa"/>
              <w:bottom w:w="0" w:type="dxa"/>
              <w:right w:w="40" w:type="dxa"/>
            </w:tcMar>
            <w:vAlign w:val="center"/>
          </w:tcPr>
          <w:p w:rsidR="009F06CA" w:rsidRDefault="009F06CA">
            <w:pPr>
              <w:widowControl w:val="0"/>
              <w:spacing w:after="0" w:line="276" w:lineRule="auto"/>
            </w:pPr>
          </w:p>
        </w:tc>
        <w:tc>
          <w:tcPr>
            <w:tcW w:w="1806" w:type="dxa"/>
            <w:tcBorders>
              <w:top w:val="nil"/>
              <w:left w:val="nil"/>
              <w:bottom w:val="single" w:sz="6" w:space="0" w:color="000000"/>
              <w:right w:val="nil"/>
            </w:tcBorders>
            <w:tcMar>
              <w:top w:w="0" w:type="dxa"/>
              <w:left w:w="40" w:type="dxa"/>
              <w:bottom w:w="0" w:type="dxa"/>
              <w:right w:w="40" w:type="dxa"/>
            </w:tcMar>
            <w:vAlign w:val="center"/>
          </w:tcPr>
          <w:p w:rsidR="009F06CA" w:rsidRDefault="009F06CA">
            <w:pPr>
              <w:widowControl w:val="0"/>
              <w:spacing w:after="0" w:line="276" w:lineRule="auto"/>
            </w:pPr>
          </w:p>
        </w:tc>
        <w:tc>
          <w:tcPr>
            <w:tcW w:w="1806" w:type="dxa"/>
            <w:tcBorders>
              <w:top w:val="nil"/>
              <w:left w:val="nil"/>
              <w:bottom w:val="single" w:sz="6" w:space="0" w:color="000000"/>
              <w:right w:val="nil"/>
            </w:tcBorders>
            <w:tcMar>
              <w:top w:w="0" w:type="dxa"/>
              <w:left w:w="40" w:type="dxa"/>
              <w:bottom w:w="0" w:type="dxa"/>
              <w:right w:w="40" w:type="dxa"/>
            </w:tcMar>
            <w:vAlign w:val="center"/>
          </w:tcPr>
          <w:p w:rsidR="009F06CA" w:rsidRDefault="009F06CA">
            <w:pPr>
              <w:widowControl w:val="0"/>
              <w:spacing w:after="0" w:line="276" w:lineRule="auto"/>
            </w:pPr>
          </w:p>
        </w:tc>
        <w:tc>
          <w:tcPr>
            <w:tcW w:w="1806" w:type="dxa"/>
            <w:tcBorders>
              <w:top w:val="nil"/>
              <w:left w:val="nil"/>
              <w:bottom w:val="single" w:sz="6" w:space="0" w:color="000000"/>
              <w:right w:val="nil"/>
            </w:tcBorders>
            <w:tcMar>
              <w:top w:w="0" w:type="dxa"/>
              <w:left w:w="40" w:type="dxa"/>
              <w:bottom w:w="0" w:type="dxa"/>
              <w:right w:w="40" w:type="dxa"/>
            </w:tcMar>
            <w:vAlign w:val="center"/>
          </w:tcPr>
          <w:p w:rsidR="009F06CA" w:rsidRDefault="009F06CA">
            <w:pPr>
              <w:widowControl w:val="0"/>
              <w:spacing w:after="0" w:line="276" w:lineRule="auto"/>
            </w:pPr>
          </w:p>
        </w:tc>
      </w:tr>
      <w:tr w:rsidR="009F06CA">
        <w:trPr>
          <w:trHeight w:val="705"/>
        </w:trPr>
        <w:tc>
          <w:tcPr>
            <w:tcW w:w="1806" w:type="dxa"/>
            <w:tcBorders>
              <w:top w:val="nil"/>
              <w:left w:val="single" w:sz="6" w:space="0" w:color="000000"/>
              <w:bottom w:val="single" w:sz="6" w:space="0" w:color="000000"/>
              <w:right w:val="single" w:sz="6" w:space="0" w:color="000000"/>
            </w:tcBorders>
            <w:shd w:val="clear" w:color="auto" w:fill="0070C0"/>
            <w:tcMar>
              <w:top w:w="0" w:type="dxa"/>
              <w:left w:w="40" w:type="dxa"/>
              <w:bottom w:w="0" w:type="dxa"/>
              <w:right w:w="40" w:type="dxa"/>
            </w:tcMar>
            <w:vAlign w:val="center"/>
          </w:tcPr>
          <w:p w:rsidR="009F06CA" w:rsidRDefault="00D0425F">
            <w:pPr>
              <w:widowControl w:val="0"/>
              <w:spacing w:after="0" w:line="276" w:lineRule="auto"/>
              <w:jc w:val="right"/>
              <w:rPr>
                <w:b/>
                <w:color w:val="FFFFFF"/>
                <w:sz w:val="20"/>
                <w:szCs w:val="20"/>
              </w:rPr>
            </w:pPr>
            <w:r>
              <w:rPr>
                <w:b/>
                <w:color w:val="FFFFFF"/>
                <w:sz w:val="20"/>
                <w:szCs w:val="20"/>
              </w:rPr>
              <w:t>Value remaining</w:t>
            </w:r>
          </w:p>
          <w:p w:rsidR="009F06CA" w:rsidRDefault="00D0425F">
            <w:pPr>
              <w:widowControl w:val="0"/>
              <w:spacing w:after="0" w:line="276" w:lineRule="auto"/>
              <w:jc w:val="right"/>
            </w:pPr>
            <w:r>
              <w:rPr>
                <w:b/>
                <w:color w:val="FFFFFF"/>
                <w:sz w:val="20"/>
                <w:szCs w:val="20"/>
              </w:rPr>
              <w:t>(MV)</w:t>
            </w:r>
          </w:p>
        </w:tc>
        <w:tc>
          <w:tcPr>
            <w:tcW w:w="1806" w:type="dxa"/>
            <w:tcBorders>
              <w:top w:val="nil"/>
              <w:left w:val="nil"/>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jc w:val="right"/>
            </w:pPr>
            <w:r>
              <w:rPr>
                <w:sz w:val="20"/>
                <w:szCs w:val="20"/>
              </w:rPr>
              <w:t>£100,000</w:t>
            </w:r>
          </w:p>
        </w:tc>
        <w:tc>
          <w:tcPr>
            <w:tcW w:w="5418" w:type="dxa"/>
            <w:gridSpan w:val="3"/>
            <w:tcBorders>
              <w:top w:val="nil"/>
              <w:left w:val="nil"/>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pPr>
            <w:r>
              <w:rPr>
                <w:sz w:val="20"/>
                <w:szCs w:val="20"/>
              </w:rPr>
              <w:t>From basket position</w:t>
            </w:r>
          </w:p>
        </w:tc>
      </w:tr>
      <w:tr w:rsidR="009F06CA">
        <w:trPr>
          <w:trHeight w:val="705"/>
        </w:trPr>
        <w:tc>
          <w:tcPr>
            <w:tcW w:w="1806" w:type="dxa"/>
            <w:tcBorders>
              <w:top w:val="nil"/>
              <w:left w:val="single" w:sz="6" w:space="0" w:color="000000"/>
              <w:bottom w:val="single" w:sz="6" w:space="0" w:color="000000"/>
              <w:right w:val="single" w:sz="6" w:space="0" w:color="000000"/>
            </w:tcBorders>
            <w:shd w:val="clear" w:color="auto" w:fill="0070C0"/>
            <w:tcMar>
              <w:top w:w="0" w:type="dxa"/>
              <w:left w:w="40" w:type="dxa"/>
              <w:bottom w:w="0" w:type="dxa"/>
              <w:right w:w="40" w:type="dxa"/>
            </w:tcMar>
            <w:vAlign w:val="center"/>
          </w:tcPr>
          <w:p w:rsidR="009F06CA" w:rsidRDefault="00D0425F">
            <w:pPr>
              <w:widowControl w:val="0"/>
              <w:spacing w:after="0" w:line="276" w:lineRule="auto"/>
              <w:jc w:val="right"/>
              <w:rPr>
                <w:b/>
                <w:color w:val="FFFFFF"/>
                <w:sz w:val="20"/>
                <w:szCs w:val="20"/>
              </w:rPr>
            </w:pPr>
            <w:r>
              <w:rPr>
                <w:b/>
                <w:color w:val="FFFFFF"/>
                <w:sz w:val="20"/>
                <w:szCs w:val="20"/>
              </w:rPr>
              <w:t>Holding period</w:t>
            </w:r>
          </w:p>
          <w:p w:rsidR="009F06CA" w:rsidRDefault="00D0425F">
            <w:pPr>
              <w:widowControl w:val="0"/>
              <w:spacing w:after="0" w:line="276" w:lineRule="auto"/>
              <w:jc w:val="right"/>
            </w:pPr>
            <w:r>
              <w:rPr>
                <w:b/>
                <w:color w:val="FFFFFF"/>
                <w:sz w:val="20"/>
                <w:szCs w:val="20"/>
              </w:rPr>
              <w:t>(HP)</w:t>
            </w:r>
          </w:p>
        </w:tc>
        <w:tc>
          <w:tcPr>
            <w:tcW w:w="1806" w:type="dxa"/>
            <w:tcBorders>
              <w:top w:val="nil"/>
              <w:left w:val="nil"/>
              <w:bottom w:val="single" w:sz="6" w:space="0" w:color="000000"/>
              <w:right w:val="single" w:sz="6" w:space="0" w:color="000000"/>
            </w:tcBorders>
            <w:shd w:val="clear" w:color="auto" w:fill="auto"/>
            <w:tcMar>
              <w:top w:w="0" w:type="dxa"/>
              <w:left w:w="40" w:type="dxa"/>
              <w:bottom w:w="0" w:type="dxa"/>
              <w:right w:w="40" w:type="dxa"/>
            </w:tcMar>
            <w:vAlign w:val="center"/>
          </w:tcPr>
          <w:p w:rsidR="009F06CA" w:rsidRDefault="00D0425F">
            <w:pPr>
              <w:widowControl w:val="0"/>
              <w:spacing w:after="0" w:line="276" w:lineRule="auto"/>
              <w:jc w:val="right"/>
            </w:pPr>
            <w:r>
              <w:rPr>
                <w:sz w:val="20"/>
                <w:szCs w:val="20"/>
              </w:rPr>
              <w:t>2</w:t>
            </w:r>
          </w:p>
        </w:tc>
        <w:tc>
          <w:tcPr>
            <w:tcW w:w="5418" w:type="dxa"/>
            <w:gridSpan w:val="3"/>
            <w:tcBorders>
              <w:top w:val="nil"/>
              <w:left w:val="nil"/>
              <w:bottom w:val="single" w:sz="6" w:space="0" w:color="000000"/>
              <w:right w:val="single" w:sz="6" w:space="0" w:color="000000"/>
            </w:tcBorders>
            <w:shd w:val="clear" w:color="auto" w:fill="auto"/>
            <w:tcMar>
              <w:top w:w="0" w:type="dxa"/>
              <w:left w:w="40" w:type="dxa"/>
              <w:bottom w:w="0" w:type="dxa"/>
              <w:right w:w="40" w:type="dxa"/>
            </w:tcMar>
            <w:vAlign w:val="center"/>
          </w:tcPr>
          <w:p w:rsidR="009F06CA" w:rsidRDefault="00D0425F">
            <w:pPr>
              <w:widowControl w:val="0"/>
              <w:spacing w:after="0" w:line="276" w:lineRule="auto"/>
            </w:pPr>
            <w:r>
              <w:rPr>
                <w:sz w:val="20"/>
                <w:szCs w:val="20"/>
              </w:rPr>
              <w:t>Time required to buy remaining volume based on liquidity assumptions</w:t>
            </w:r>
          </w:p>
        </w:tc>
      </w:tr>
      <w:tr w:rsidR="009F06CA">
        <w:trPr>
          <w:trHeight w:val="315"/>
        </w:trPr>
        <w:tc>
          <w:tcPr>
            <w:tcW w:w="1806" w:type="dxa"/>
            <w:tcBorders>
              <w:top w:val="nil"/>
              <w:left w:val="nil"/>
              <w:bottom w:val="single" w:sz="6" w:space="0" w:color="000000"/>
              <w:right w:val="nil"/>
            </w:tcBorders>
            <w:shd w:val="clear" w:color="auto" w:fill="auto"/>
            <w:tcMar>
              <w:top w:w="0" w:type="dxa"/>
              <w:left w:w="40" w:type="dxa"/>
              <w:bottom w:w="0" w:type="dxa"/>
              <w:right w:w="40" w:type="dxa"/>
            </w:tcMar>
            <w:vAlign w:val="center"/>
          </w:tcPr>
          <w:p w:rsidR="009F06CA" w:rsidRDefault="009F06CA">
            <w:pPr>
              <w:widowControl w:val="0"/>
              <w:spacing w:after="0" w:line="276" w:lineRule="auto"/>
            </w:pPr>
          </w:p>
        </w:tc>
        <w:tc>
          <w:tcPr>
            <w:tcW w:w="1806" w:type="dxa"/>
            <w:tcBorders>
              <w:top w:val="nil"/>
              <w:left w:val="nil"/>
              <w:bottom w:val="single" w:sz="6" w:space="0" w:color="000000"/>
              <w:right w:val="nil"/>
            </w:tcBorders>
            <w:shd w:val="clear" w:color="auto" w:fill="auto"/>
            <w:tcMar>
              <w:top w:w="0" w:type="dxa"/>
              <w:left w:w="40" w:type="dxa"/>
              <w:bottom w:w="0" w:type="dxa"/>
              <w:right w:w="40" w:type="dxa"/>
            </w:tcMar>
            <w:vAlign w:val="center"/>
          </w:tcPr>
          <w:p w:rsidR="009F06CA" w:rsidRDefault="009F06CA">
            <w:pPr>
              <w:widowControl w:val="0"/>
              <w:spacing w:after="0" w:line="276" w:lineRule="auto"/>
            </w:pPr>
          </w:p>
        </w:tc>
        <w:tc>
          <w:tcPr>
            <w:tcW w:w="1806" w:type="dxa"/>
            <w:tcBorders>
              <w:top w:val="nil"/>
              <w:left w:val="nil"/>
              <w:bottom w:val="single" w:sz="6" w:space="0" w:color="000000"/>
              <w:right w:val="nil"/>
            </w:tcBorders>
            <w:shd w:val="clear" w:color="auto" w:fill="auto"/>
            <w:tcMar>
              <w:top w:w="0" w:type="dxa"/>
              <w:left w:w="40" w:type="dxa"/>
              <w:bottom w:w="0" w:type="dxa"/>
              <w:right w:w="40" w:type="dxa"/>
            </w:tcMar>
            <w:vAlign w:val="center"/>
          </w:tcPr>
          <w:p w:rsidR="009F06CA" w:rsidRDefault="009F06CA">
            <w:pPr>
              <w:widowControl w:val="0"/>
              <w:spacing w:after="0" w:line="276" w:lineRule="auto"/>
            </w:pPr>
          </w:p>
        </w:tc>
        <w:tc>
          <w:tcPr>
            <w:tcW w:w="1806" w:type="dxa"/>
            <w:tcBorders>
              <w:top w:val="nil"/>
              <w:left w:val="nil"/>
              <w:bottom w:val="single" w:sz="6" w:space="0" w:color="000000"/>
              <w:right w:val="nil"/>
            </w:tcBorders>
            <w:shd w:val="clear" w:color="auto" w:fill="auto"/>
            <w:tcMar>
              <w:top w:w="0" w:type="dxa"/>
              <w:left w:w="40" w:type="dxa"/>
              <w:bottom w:w="0" w:type="dxa"/>
              <w:right w:w="40" w:type="dxa"/>
            </w:tcMar>
            <w:vAlign w:val="center"/>
          </w:tcPr>
          <w:p w:rsidR="009F06CA" w:rsidRDefault="009F06CA">
            <w:pPr>
              <w:widowControl w:val="0"/>
              <w:spacing w:after="0" w:line="276" w:lineRule="auto"/>
            </w:pPr>
          </w:p>
        </w:tc>
        <w:tc>
          <w:tcPr>
            <w:tcW w:w="1806" w:type="dxa"/>
            <w:tcBorders>
              <w:top w:val="nil"/>
              <w:left w:val="nil"/>
              <w:bottom w:val="single" w:sz="6" w:space="0" w:color="000000"/>
              <w:right w:val="nil"/>
            </w:tcBorders>
            <w:shd w:val="clear" w:color="auto" w:fill="auto"/>
            <w:tcMar>
              <w:top w:w="0" w:type="dxa"/>
              <w:left w:w="40" w:type="dxa"/>
              <w:bottom w:w="0" w:type="dxa"/>
              <w:right w:w="40" w:type="dxa"/>
            </w:tcMar>
            <w:vAlign w:val="center"/>
          </w:tcPr>
          <w:p w:rsidR="009F06CA" w:rsidRDefault="009F06CA">
            <w:pPr>
              <w:widowControl w:val="0"/>
              <w:spacing w:after="0" w:line="276" w:lineRule="auto"/>
            </w:pPr>
          </w:p>
        </w:tc>
      </w:tr>
      <w:tr w:rsidR="009F06CA">
        <w:trPr>
          <w:trHeight w:val="705"/>
        </w:trPr>
        <w:tc>
          <w:tcPr>
            <w:tcW w:w="1806" w:type="dxa"/>
            <w:tcBorders>
              <w:top w:val="nil"/>
              <w:left w:val="single" w:sz="6" w:space="0" w:color="000000"/>
              <w:bottom w:val="single" w:sz="6" w:space="0" w:color="000000"/>
              <w:right w:val="single" w:sz="6" w:space="0" w:color="000000"/>
            </w:tcBorders>
            <w:shd w:val="clear" w:color="auto" w:fill="0070C0"/>
            <w:tcMar>
              <w:top w:w="0" w:type="dxa"/>
              <w:left w:w="40" w:type="dxa"/>
              <w:bottom w:w="0" w:type="dxa"/>
              <w:right w:w="40" w:type="dxa"/>
            </w:tcMar>
            <w:vAlign w:val="center"/>
          </w:tcPr>
          <w:p w:rsidR="009F06CA" w:rsidRDefault="00D0425F">
            <w:pPr>
              <w:widowControl w:val="0"/>
              <w:spacing w:after="0" w:line="276" w:lineRule="auto"/>
              <w:jc w:val="right"/>
            </w:pPr>
            <w:r>
              <w:rPr>
                <w:b/>
                <w:color w:val="FFFFFF"/>
                <w:sz w:val="20"/>
                <w:szCs w:val="20"/>
              </w:rPr>
              <w:t>Annualised volatility (AV)</w:t>
            </w:r>
          </w:p>
        </w:tc>
        <w:tc>
          <w:tcPr>
            <w:tcW w:w="1806" w:type="dxa"/>
            <w:tcBorders>
              <w:top w:val="nil"/>
              <w:left w:val="nil"/>
              <w:bottom w:val="single" w:sz="6" w:space="0" w:color="000000"/>
              <w:right w:val="single" w:sz="6" w:space="0" w:color="000000"/>
            </w:tcBorders>
            <w:shd w:val="clear" w:color="auto" w:fill="auto"/>
            <w:tcMar>
              <w:top w:w="0" w:type="dxa"/>
              <w:left w:w="40" w:type="dxa"/>
              <w:bottom w:w="0" w:type="dxa"/>
              <w:right w:w="40" w:type="dxa"/>
            </w:tcMar>
            <w:vAlign w:val="center"/>
          </w:tcPr>
          <w:p w:rsidR="009F06CA" w:rsidRDefault="00D0425F">
            <w:pPr>
              <w:widowControl w:val="0"/>
              <w:spacing w:after="0" w:line="276" w:lineRule="auto"/>
              <w:jc w:val="right"/>
              <w:rPr>
                <w:sz w:val="20"/>
                <w:szCs w:val="20"/>
              </w:rPr>
            </w:pPr>
            <w:r>
              <w:rPr>
                <w:sz w:val="20"/>
                <w:szCs w:val="20"/>
              </w:rPr>
              <w:t>9.7%</w:t>
            </w:r>
          </w:p>
        </w:tc>
        <w:tc>
          <w:tcPr>
            <w:tcW w:w="5418" w:type="dxa"/>
            <w:gridSpan w:val="3"/>
            <w:tcBorders>
              <w:top w:val="nil"/>
              <w:left w:val="nil"/>
              <w:bottom w:val="single" w:sz="6" w:space="0" w:color="000000"/>
              <w:right w:val="single" w:sz="6" w:space="0" w:color="000000"/>
            </w:tcBorders>
            <w:shd w:val="clear" w:color="auto" w:fill="auto"/>
            <w:tcMar>
              <w:top w:w="0" w:type="dxa"/>
              <w:left w:w="40" w:type="dxa"/>
              <w:bottom w:w="0" w:type="dxa"/>
              <w:right w:w="40" w:type="dxa"/>
            </w:tcMar>
            <w:vAlign w:val="center"/>
          </w:tcPr>
          <w:p w:rsidR="009F06CA" w:rsidRDefault="00D0425F">
            <w:pPr>
              <w:widowControl w:val="0"/>
              <w:spacing w:after="0" w:line="276" w:lineRule="auto"/>
            </w:pPr>
            <w:r>
              <w:rPr>
                <w:sz w:val="20"/>
                <w:szCs w:val="20"/>
              </w:rPr>
              <w:t>As calculated in the table above.</w:t>
            </w:r>
          </w:p>
        </w:tc>
      </w:tr>
      <w:tr w:rsidR="009F06CA">
        <w:trPr>
          <w:trHeight w:val="705"/>
        </w:trPr>
        <w:tc>
          <w:tcPr>
            <w:tcW w:w="1806" w:type="dxa"/>
            <w:tcBorders>
              <w:top w:val="nil"/>
              <w:left w:val="single" w:sz="6" w:space="0" w:color="000000"/>
              <w:bottom w:val="single" w:sz="6" w:space="0" w:color="000000"/>
              <w:right w:val="single" w:sz="6" w:space="0" w:color="000000"/>
            </w:tcBorders>
            <w:shd w:val="clear" w:color="auto" w:fill="0070C0"/>
            <w:tcMar>
              <w:top w:w="0" w:type="dxa"/>
              <w:left w:w="40" w:type="dxa"/>
              <w:bottom w:w="0" w:type="dxa"/>
              <w:right w:w="40" w:type="dxa"/>
            </w:tcMar>
            <w:vAlign w:val="center"/>
          </w:tcPr>
          <w:p w:rsidR="009F06CA" w:rsidRDefault="00D0425F">
            <w:pPr>
              <w:widowControl w:val="0"/>
              <w:spacing w:after="0" w:line="276" w:lineRule="auto"/>
              <w:jc w:val="right"/>
              <w:rPr>
                <w:b/>
                <w:color w:val="FFFFFF"/>
                <w:sz w:val="20"/>
                <w:szCs w:val="20"/>
              </w:rPr>
            </w:pPr>
            <w:r>
              <w:rPr>
                <w:b/>
                <w:color w:val="FFFFFF"/>
                <w:sz w:val="20"/>
                <w:szCs w:val="20"/>
              </w:rPr>
              <w:t>Annualised HP</w:t>
            </w:r>
          </w:p>
          <w:p w:rsidR="009F06CA" w:rsidRDefault="00D0425F">
            <w:pPr>
              <w:widowControl w:val="0"/>
              <w:spacing w:after="0" w:line="276" w:lineRule="auto"/>
              <w:jc w:val="right"/>
            </w:pPr>
            <w:r>
              <w:rPr>
                <w:b/>
                <w:color w:val="FFFFFF"/>
                <w:sz w:val="20"/>
                <w:szCs w:val="20"/>
              </w:rPr>
              <w:t>(AHP)</w:t>
            </w:r>
          </w:p>
        </w:tc>
        <w:tc>
          <w:tcPr>
            <w:tcW w:w="1806" w:type="dxa"/>
            <w:tcBorders>
              <w:top w:val="nil"/>
              <w:left w:val="nil"/>
              <w:bottom w:val="single" w:sz="6" w:space="0" w:color="000000"/>
              <w:right w:val="single" w:sz="6" w:space="0" w:color="000000"/>
            </w:tcBorders>
            <w:shd w:val="clear" w:color="auto" w:fill="auto"/>
            <w:tcMar>
              <w:top w:w="0" w:type="dxa"/>
              <w:left w:w="40" w:type="dxa"/>
              <w:bottom w:w="0" w:type="dxa"/>
              <w:right w:w="40" w:type="dxa"/>
            </w:tcMar>
            <w:vAlign w:val="center"/>
          </w:tcPr>
          <w:p w:rsidR="009F06CA" w:rsidRDefault="00D0425F">
            <w:pPr>
              <w:widowControl w:val="0"/>
              <w:spacing w:after="0" w:line="276" w:lineRule="auto"/>
              <w:jc w:val="right"/>
            </w:pPr>
            <w:r>
              <w:rPr>
                <w:sz w:val="20"/>
                <w:szCs w:val="20"/>
              </w:rPr>
              <w:t>0.09</w:t>
            </w:r>
          </w:p>
        </w:tc>
        <w:tc>
          <w:tcPr>
            <w:tcW w:w="5418" w:type="dxa"/>
            <w:gridSpan w:val="3"/>
            <w:tcBorders>
              <w:top w:val="nil"/>
              <w:left w:val="nil"/>
              <w:bottom w:val="single" w:sz="6" w:space="0" w:color="000000"/>
              <w:right w:val="single" w:sz="6" w:space="0" w:color="000000"/>
            </w:tcBorders>
            <w:shd w:val="clear" w:color="auto" w:fill="auto"/>
            <w:tcMar>
              <w:top w:w="0" w:type="dxa"/>
              <w:left w:w="40" w:type="dxa"/>
              <w:bottom w:w="0" w:type="dxa"/>
              <w:right w:w="40" w:type="dxa"/>
            </w:tcMar>
            <w:vAlign w:val="center"/>
          </w:tcPr>
          <w:p w:rsidR="009F06CA" w:rsidRDefault="00D0425F">
            <w:pPr>
              <w:widowControl w:val="0"/>
              <w:spacing w:after="0" w:line="276" w:lineRule="auto"/>
            </w:pPr>
            <w:r>
              <w:rPr>
                <w:sz w:val="20"/>
                <w:szCs w:val="20"/>
              </w:rPr>
              <w:t>Square root of (HP/252)</w:t>
            </w:r>
          </w:p>
        </w:tc>
      </w:tr>
      <w:tr w:rsidR="009F06CA">
        <w:trPr>
          <w:trHeight w:val="705"/>
        </w:trPr>
        <w:tc>
          <w:tcPr>
            <w:tcW w:w="1806" w:type="dxa"/>
            <w:tcBorders>
              <w:top w:val="nil"/>
              <w:left w:val="single" w:sz="6" w:space="0" w:color="000000"/>
              <w:bottom w:val="single" w:sz="6" w:space="0" w:color="000000"/>
              <w:right w:val="single" w:sz="6" w:space="0" w:color="000000"/>
            </w:tcBorders>
            <w:shd w:val="clear" w:color="auto" w:fill="0070C0"/>
            <w:tcMar>
              <w:top w:w="0" w:type="dxa"/>
              <w:left w:w="40" w:type="dxa"/>
              <w:bottom w:w="0" w:type="dxa"/>
              <w:right w:w="40" w:type="dxa"/>
            </w:tcMar>
            <w:vAlign w:val="center"/>
          </w:tcPr>
          <w:p w:rsidR="009F06CA" w:rsidRDefault="00D0425F">
            <w:pPr>
              <w:widowControl w:val="0"/>
              <w:spacing w:after="0" w:line="276" w:lineRule="auto"/>
              <w:jc w:val="right"/>
              <w:rPr>
                <w:b/>
                <w:color w:val="FFFFFF"/>
                <w:sz w:val="20"/>
                <w:szCs w:val="20"/>
              </w:rPr>
            </w:pPr>
            <w:r>
              <w:rPr>
                <w:b/>
                <w:color w:val="FFFFFF"/>
                <w:sz w:val="20"/>
                <w:szCs w:val="20"/>
              </w:rPr>
              <w:t>Confidence interval</w:t>
            </w:r>
          </w:p>
          <w:p w:rsidR="009F06CA" w:rsidRDefault="00D0425F">
            <w:pPr>
              <w:widowControl w:val="0"/>
              <w:spacing w:after="0" w:line="276" w:lineRule="auto"/>
              <w:jc w:val="right"/>
            </w:pPr>
            <w:r>
              <w:rPr>
                <w:b/>
                <w:color w:val="FFFFFF"/>
                <w:sz w:val="20"/>
                <w:szCs w:val="20"/>
              </w:rPr>
              <w:t>(CI)</w:t>
            </w:r>
          </w:p>
        </w:tc>
        <w:tc>
          <w:tcPr>
            <w:tcW w:w="1806" w:type="dxa"/>
            <w:tcBorders>
              <w:top w:val="nil"/>
              <w:left w:val="nil"/>
              <w:bottom w:val="single" w:sz="6" w:space="0" w:color="000000"/>
              <w:right w:val="single" w:sz="6" w:space="0" w:color="000000"/>
            </w:tcBorders>
            <w:shd w:val="clear" w:color="auto" w:fill="auto"/>
            <w:tcMar>
              <w:top w:w="0" w:type="dxa"/>
              <w:left w:w="40" w:type="dxa"/>
              <w:bottom w:w="0" w:type="dxa"/>
              <w:right w:w="40" w:type="dxa"/>
            </w:tcMar>
            <w:vAlign w:val="center"/>
          </w:tcPr>
          <w:p w:rsidR="009F06CA" w:rsidRDefault="00D0425F">
            <w:pPr>
              <w:widowControl w:val="0"/>
              <w:spacing w:after="0" w:line="276" w:lineRule="auto"/>
              <w:jc w:val="right"/>
            </w:pPr>
            <w:r>
              <w:rPr>
                <w:sz w:val="20"/>
                <w:szCs w:val="20"/>
              </w:rPr>
              <w:t>1.645</w:t>
            </w:r>
          </w:p>
        </w:tc>
        <w:tc>
          <w:tcPr>
            <w:tcW w:w="5418" w:type="dxa"/>
            <w:gridSpan w:val="3"/>
            <w:tcBorders>
              <w:top w:val="nil"/>
              <w:left w:val="nil"/>
              <w:bottom w:val="single" w:sz="6" w:space="0" w:color="000000"/>
              <w:right w:val="single" w:sz="6" w:space="0" w:color="000000"/>
            </w:tcBorders>
            <w:shd w:val="clear" w:color="auto" w:fill="auto"/>
            <w:tcMar>
              <w:top w:w="0" w:type="dxa"/>
              <w:left w:w="40" w:type="dxa"/>
              <w:bottom w:w="0" w:type="dxa"/>
              <w:right w:w="40" w:type="dxa"/>
            </w:tcMar>
            <w:vAlign w:val="center"/>
          </w:tcPr>
          <w:p w:rsidR="009F06CA" w:rsidRDefault="00D0425F">
            <w:pPr>
              <w:widowControl w:val="0"/>
              <w:spacing w:after="0" w:line="276" w:lineRule="auto"/>
            </w:pPr>
            <w:r>
              <w:rPr>
                <w:sz w:val="20"/>
                <w:szCs w:val="20"/>
              </w:rPr>
              <w:t>1.645 = 90% confidence interval</w:t>
            </w:r>
          </w:p>
        </w:tc>
      </w:tr>
      <w:tr w:rsidR="009F06CA">
        <w:trPr>
          <w:trHeight w:val="705"/>
        </w:trPr>
        <w:tc>
          <w:tcPr>
            <w:tcW w:w="1806" w:type="dxa"/>
            <w:tcBorders>
              <w:top w:val="nil"/>
              <w:left w:val="single" w:sz="6" w:space="0" w:color="000000"/>
              <w:bottom w:val="single" w:sz="6" w:space="0" w:color="000000"/>
              <w:right w:val="single" w:sz="6" w:space="0" w:color="000000"/>
            </w:tcBorders>
            <w:shd w:val="clear" w:color="auto" w:fill="0070C0"/>
            <w:tcMar>
              <w:top w:w="0" w:type="dxa"/>
              <w:left w:w="40" w:type="dxa"/>
              <w:bottom w:w="0" w:type="dxa"/>
              <w:right w:w="40" w:type="dxa"/>
            </w:tcMar>
            <w:vAlign w:val="center"/>
          </w:tcPr>
          <w:p w:rsidR="009F06CA" w:rsidRDefault="00D0425F">
            <w:pPr>
              <w:widowControl w:val="0"/>
              <w:spacing w:after="0" w:line="276" w:lineRule="auto"/>
              <w:jc w:val="right"/>
              <w:rPr>
                <w:b/>
                <w:color w:val="FFFFFF"/>
                <w:sz w:val="20"/>
                <w:szCs w:val="20"/>
              </w:rPr>
            </w:pPr>
            <w:r>
              <w:rPr>
                <w:b/>
                <w:color w:val="FFFFFF"/>
                <w:sz w:val="20"/>
                <w:szCs w:val="20"/>
              </w:rPr>
              <w:t>Close out factor</w:t>
            </w:r>
          </w:p>
          <w:p w:rsidR="009F06CA" w:rsidRDefault="00D0425F">
            <w:pPr>
              <w:widowControl w:val="0"/>
              <w:spacing w:after="0" w:line="276" w:lineRule="auto"/>
              <w:jc w:val="right"/>
            </w:pPr>
            <w:r>
              <w:rPr>
                <w:b/>
                <w:color w:val="FFFFFF"/>
                <w:sz w:val="20"/>
                <w:szCs w:val="20"/>
              </w:rPr>
              <w:t>(CF)</w:t>
            </w:r>
          </w:p>
        </w:tc>
        <w:tc>
          <w:tcPr>
            <w:tcW w:w="1806" w:type="dxa"/>
            <w:tcBorders>
              <w:top w:val="nil"/>
              <w:left w:val="nil"/>
              <w:bottom w:val="single" w:sz="6" w:space="0" w:color="000000"/>
              <w:right w:val="single" w:sz="6" w:space="0" w:color="000000"/>
            </w:tcBorders>
            <w:shd w:val="clear" w:color="auto" w:fill="auto"/>
            <w:tcMar>
              <w:top w:w="0" w:type="dxa"/>
              <w:left w:w="40" w:type="dxa"/>
              <w:bottom w:w="0" w:type="dxa"/>
              <w:right w:w="40" w:type="dxa"/>
            </w:tcMar>
            <w:vAlign w:val="center"/>
          </w:tcPr>
          <w:p w:rsidR="009F06CA" w:rsidRDefault="00D0425F">
            <w:pPr>
              <w:widowControl w:val="0"/>
              <w:spacing w:after="0" w:line="276" w:lineRule="auto"/>
              <w:jc w:val="right"/>
            </w:pPr>
            <w:r>
              <w:rPr>
                <w:sz w:val="20"/>
                <w:szCs w:val="20"/>
              </w:rPr>
              <w:t>0.228</w:t>
            </w:r>
          </w:p>
        </w:tc>
        <w:tc>
          <w:tcPr>
            <w:tcW w:w="5418" w:type="dxa"/>
            <w:gridSpan w:val="3"/>
            <w:tcBorders>
              <w:top w:val="nil"/>
              <w:left w:val="nil"/>
              <w:bottom w:val="single" w:sz="6" w:space="0" w:color="000000"/>
              <w:right w:val="single" w:sz="6" w:space="0" w:color="000000"/>
            </w:tcBorders>
            <w:shd w:val="clear" w:color="auto" w:fill="auto"/>
            <w:tcMar>
              <w:top w:w="0" w:type="dxa"/>
              <w:left w:w="40" w:type="dxa"/>
              <w:bottom w:w="0" w:type="dxa"/>
              <w:right w:w="40" w:type="dxa"/>
            </w:tcMar>
            <w:vAlign w:val="center"/>
          </w:tcPr>
          <w:p w:rsidR="009F06CA" w:rsidRDefault="00D0425F">
            <w:pPr>
              <w:widowControl w:val="0"/>
              <w:spacing w:after="0" w:line="276" w:lineRule="auto"/>
            </w:pPr>
            <w:r>
              <w:rPr>
                <w:sz w:val="20"/>
                <w:szCs w:val="20"/>
              </w:rPr>
              <w:t>See close out factor formula</w:t>
            </w:r>
          </w:p>
        </w:tc>
      </w:tr>
      <w:tr w:rsidR="009F06CA">
        <w:trPr>
          <w:trHeight w:val="315"/>
        </w:trPr>
        <w:tc>
          <w:tcPr>
            <w:tcW w:w="1806" w:type="dxa"/>
            <w:tcBorders>
              <w:top w:val="nil"/>
              <w:left w:val="nil"/>
              <w:bottom w:val="single" w:sz="6" w:space="0" w:color="000000"/>
              <w:right w:val="nil"/>
            </w:tcBorders>
            <w:shd w:val="clear" w:color="auto" w:fill="auto"/>
            <w:tcMar>
              <w:top w:w="0" w:type="dxa"/>
              <w:left w:w="40" w:type="dxa"/>
              <w:bottom w:w="0" w:type="dxa"/>
              <w:right w:w="40" w:type="dxa"/>
            </w:tcMar>
            <w:vAlign w:val="center"/>
          </w:tcPr>
          <w:p w:rsidR="009F06CA" w:rsidRDefault="009F06CA">
            <w:pPr>
              <w:widowControl w:val="0"/>
              <w:spacing w:after="0" w:line="276" w:lineRule="auto"/>
            </w:pPr>
          </w:p>
        </w:tc>
        <w:tc>
          <w:tcPr>
            <w:tcW w:w="1806" w:type="dxa"/>
            <w:tcBorders>
              <w:top w:val="nil"/>
              <w:left w:val="nil"/>
              <w:bottom w:val="single" w:sz="6" w:space="0" w:color="000000"/>
              <w:right w:val="nil"/>
            </w:tcBorders>
            <w:shd w:val="clear" w:color="auto" w:fill="auto"/>
            <w:tcMar>
              <w:top w:w="0" w:type="dxa"/>
              <w:left w:w="40" w:type="dxa"/>
              <w:bottom w:w="0" w:type="dxa"/>
              <w:right w:w="40" w:type="dxa"/>
            </w:tcMar>
            <w:vAlign w:val="center"/>
          </w:tcPr>
          <w:p w:rsidR="009F06CA" w:rsidRDefault="009F06CA">
            <w:pPr>
              <w:widowControl w:val="0"/>
              <w:spacing w:after="0" w:line="276" w:lineRule="auto"/>
            </w:pPr>
          </w:p>
        </w:tc>
        <w:tc>
          <w:tcPr>
            <w:tcW w:w="1806" w:type="dxa"/>
            <w:tcBorders>
              <w:top w:val="nil"/>
              <w:left w:val="nil"/>
              <w:bottom w:val="single" w:sz="6" w:space="0" w:color="000000"/>
              <w:right w:val="nil"/>
            </w:tcBorders>
            <w:shd w:val="clear" w:color="auto" w:fill="auto"/>
            <w:tcMar>
              <w:top w:w="0" w:type="dxa"/>
              <w:left w:w="40" w:type="dxa"/>
              <w:bottom w:w="0" w:type="dxa"/>
              <w:right w:w="40" w:type="dxa"/>
            </w:tcMar>
            <w:vAlign w:val="center"/>
          </w:tcPr>
          <w:p w:rsidR="009F06CA" w:rsidRDefault="009F06CA">
            <w:pPr>
              <w:widowControl w:val="0"/>
              <w:spacing w:after="0" w:line="276" w:lineRule="auto"/>
            </w:pPr>
          </w:p>
        </w:tc>
        <w:tc>
          <w:tcPr>
            <w:tcW w:w="1806" w:type="dxa"/>
            <w:tcBorders>
              <w:top w:val="nil"/>
              <w:left w:val="nil"/>
              <w:bottom w:val="single" w:sz="6" w:space="0" w:color="000000"/>
              <w:right w:val="nil"/>
            </w:tcBorders>
            <w:shd w:val="clear" w:color="auto" w:fill="auto"/>
            <w:tcMar>
              <w:top w:w="0" w:type="dxa"/>
              <w:left w:w="40" w:type="dxa"/>
              <w:bottom w:w="0" w:type="dxa"/>
              <w:right w:w="40" w:type="dxa"/>
            </w:tcMar>
            <w:vAlign w:val="center"/>
          </w:tcPr>
          <w:p w:rsidR="009F06CA" w:rsidRDefault="009F06CA">
            <w:pPr>
              <w:widowControl w:val="0"/>
              <w:spacing w:after="0" w:line="276" w:lineRule="auto"/>
            </w:pPr>
          </w:p>
        </w:tc>
        <w:tc>
          <w:tcPr>
            <w:tcW w:w="1806" w:type="dxa"/>
            <w:tcBorders>
              <w:top w:val="nil"/>
              <w:left w:val="nil"/>
              <w:bottom w:val="single" w:sz="6" w:space="0" w:color="000000"/>
              <w:right w:val="nil"/>
            </w:tcBorders>
            <w:shd w:val="clear" w:color="auto" w:fill="auto"/>
            <w:tcMar>
              <w:top w:w="0" w:type="dxa"/>
              <w:left w:w="40" w:type="dxa"/>
              <w:bottom w:w="0" w:type="dxa"/>
              <w:right w:w="40" w:type="dxa"/>
            </w:tcMar>
            <w:vAlign w:val="center"/>
          </w:tcPr>
          <w:p w:rsidR="009F06CA" w:rsidRDefault="009F06CA">
            <w:pPr>
              <w:widowControl w:val="0"/>
              <w:spacing w:after="0" w:line="276" w:lineRule="auto"/>
            </w:pPr>
          </w:p>
        </w:tc>
      </w:tr>
      <w:tr w:rsidR="009F06CA">
        <w:trPr>
          <w:trHeight w:val="705"/>
        </w:trPr>
        <w:tc>
          <w:tcPr>
            <w:tcW w:w="1806" w:type="dxa"/>
            <w:tcBorders>
              <w:top w:val="nil"/>
              <w:left w:val="single" w:sz="6" w:space="0" w:color="000000"/>
              <w:bottom w:val="single" w:sz="6" w:space="0" w:color="000000"/>
              <w:right w:val="single" w:sz="6" w:space="0" w:color="000000"/>
            </w:tcBorders>
            <w:shd w:val="clear" w:color="auto" w:fill="0070C0"/>
            <w:tcMar>
              <w:top w:w="0" w:type="dxa"/>
              <w:left w:w="40" w:type="dxa"/>
              <w:bottom w:w="0" w:type="dxa"/>
              <w:right w:w="40" w:type="dxa"/>
            </w:tcMar>
            <w:vAlign w:val="center"/>
          </w:tcPr>
          <w:p w:rsidR="009F06CA" w:rsidRDefault="00D0425F">
            <w:pPr>
              <w:widowControl w:val="0"/>
              <w:spacing w:after="0" w:line="276" w:lineRule="auto"/>
              <w:jc w:val="right"/>
            </w:pPr>
            <w:r>
              <w:rPr>
                <w:b/>
                <w:color w:val="FFFFFF"/>
                <w:sz w:val="20"/>
                <w:szCs w:val="20"/>
              </w:rPr>
              <w:t>CaR</w:t>
            </w:r>
          </w:p>
        </w:tc>
        <w:tc>
          <w:tcPr>
            <w:tcW w:w="1806" w:type="dxa"/>
            <w:tcBorders>
              <w:top w:val="nil"/>
              <w:left w:val="nil"/>
              <w:bottom w:val="single" w:sz="6" w:space="0" w:color="000000"/>
              <w:right w:val="single" w:sz="6" w:space="0" w:color="000000"/>
            </w:tcBorders>
            <w:shd w:val="clear" w:color="auto" w:fill="auto"/>
            <w:tcMar>
              <w:top w:w="0" w:type="dxa"/>
              <w:left w:w="40" w:type="dxa"/>
              <w:bottom w:w="0" w:type="dxa"/>
              <w:right w:w="40" w:type="dxa"/>
            </w:tcMar>
            <w:vAlign w:val="center"/>
          </w:tcPr>
          <w:p w:rsidR="009F06CA" w:rsidRDefault="00D0425F">
            <w:pPr>
              <w:widowControl w:val="0"/>
              <w:spacing w:after="0" w:line="276" w:lineRule="auto"/>
              <w:jc w:val="right"/>
            </w:pPr>
            <w:r>
              <w:rPr>
                <w:sz w:val="20"/>
                <w:szCs w:val="20"/>
              </w:rPr>
              <w:t>£323.83</w:t>
            </w:r>
          </w:p>
        </w:tc>
        <w:tc>
          <w:tcPr>
            <w:tcW w:w="5418" w:type="dxa"/>
            <w:gridSpan w:val="3"/>
            <w:tcBorders>
              <w:top w:val="nil"/>
              <w:left w:val="nil"/>
              <w:bottom w:val="single" w:sz="6" w:space="0" w:color="000000"/>
              <w:right w:val="single" w:sz="6" w:space="0" w:color="000000"/>
            </w:tcBorders>
            <w:shd w:val="clear" w:color="auto" w:fill="auto"/>
            <w:tcMar>
              <w:top w:w="0" w:type="dxa"/>
              <w:left w:w="40" w:type="dxa"/>
              <w:bottom w:w="0" w:type="dxa"/>
              <w:right w:w="40" w:type="dxa"/>
            </w:tcMar>
            <w:vAlign w:val="center"/>
          </w:tcPr>
          <w:p w:rsidR="009F06CA" w:rsidRDefault="00D0425F">
            <w:pPr>
              <w:widowControl w:val="0"/>
              <w:spacing w:after="0" w:line="276" w:lineRule="auto"/>
            </w:pPr>
            <w:r>
              <w:rPr>
                <w:sz w:val="20"/>
                <w:szCs w:val="20"/>
              </w:rPr>
              <w:t>= AV x AHP x CI x CF</w:t>
            </w:r>
          </w:p>
        </w:tc>
      </w:tr>
    </w:tbl>
    <w:p w:rsidR="009F06CA" w:rsidRDefault="009F06CA">
      <w:pPr>
        <w:rPr>
          <w:sz w:val="36"/>
          <w:szCs w:val="36"/>
        </w:rPr>
      </w:pPr>
    </w:p>
    <w:p w:rsidR="009F06CA" w:rsidRDefault="00D0425F">
      <w:pPr>
        <w:pStyle w:val="Heading1"/>
      </w:pPr>
      <w:bookmarkStart w:id="37" w:name="_sk4eky4d8aam" w:colFirst="0" w:colLast="0"/>
      <w:bookmarkEnd w:id="37"/>
      <w:r>
        <w:lastRenderedPageBreak/>
        <w:t>Appendix 5: Basket hierarchy</w:t>
      </w:r>
    </w:p>
    <w:p w:rsidR="009F06CA" w:rsidRDefault="00D0425F">
      <w:r>
        <w:rPr>
          <w:noProof/>
        </w:rPr>
        <w:drawing>
          <wp:inline distT="114300" distB="114300" distL="114300" distR="114300">
            <wp:extent cx="5734050" cy="4038600"/>
            <wp:effectExtent l="0" t="0" r="0" b="0"/>
            <wp:docPr id="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3"/>
                    <a:srcRect/>
                    <a:stretch>
                      <a:fillRect/>
                    </a:stretch>
                  </pic:blipFill>
                  <pic:spPr>
                    <a:xfrm>
                      <a:off x="0" y="0"/>
                      <a:ext cx="5734050" cy="4038600"/>
                    </a:xfrm>
                    <a:prstGeom prst="rect">
                      <a:avLst/>
                    </a:prstGeom>
                    <a:ln/>
                  </pic:spPr>
                </pic:pic>
              </a:graphicData>
            </a:graphic>
          </wp:inline>
        </w:drawing>
      </w:r>
    </w:p>
    <w:p w:rsidR="009F06CA" w:rsidRDefault="00D0425F">
      <w:pPr>
        <w:pStyle w:val="Heading1"/>
      </w:pPr>
      <w:bookmarkStart w:id="38" w:name="_kxskszish4za" w:colFirst="0" w:colLast="0"/>
      <w:bookmarkEnd w:id="38"/>
      <w:r>
        <w:br w:type="page"/>
      </w:r>
    </w:p>
    <w:p w:rsidR="009F06CA" w:rsidRDefault="00D0425F">
      <w:pPr>
        <w:pStyle w:val="Heading1"/>
      </w:pPr>
      <w:bookmarkStart w:id="39" w:name="_xh27ann85hgk" w:colFirst="0" w:colLast="0"/>
      <w:bookmarkEnd w:id="39"/>
      <w:r>
        <w:lastRenderedPageBreak/>
        <w:t>Appendix 6: Data flows (normal, optimisation and gas actualisation)</w:t>
      </w:r>
    </w:p>
    <w:p w:rsidR="009F06CA" w:rsidRDefault="009F06CA"/>
    <w:p w:rsidR="009F06CA" w:rsidRDefault="00D0425F">
      <w:r>
        <w:rPr>
          <w:noProof/>
        </w:rPr>
        <w:drawing>
          <wp:inline distT="114300" distB="114300" distL="114300" distR="114300">
            <wp:extent cx="5734050" cy="4432300"/>
            <wp:effectExtent l="0" t="0" r="0" b="0"/>
            <wp:docPr id="4"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4"/>
                    <a:srcRect/>
                    <a:stretch>
                      <a:fillRect/>
                    </a:stretch>
                  </pic:blipFill>
                  <pic:spPr>
                    <a:xfrm>
                      <a:off x="0" y="0"/>
                      <a:ext cx="5734050" cy="4432300"/>
                    </a:xfrm>
                    <a:prstGeom prst="rect">
                      <a:avLst/>
                    </a:prstGeom>
                    <a:ln/>
                  </pic:spPr>
                </pic:pic>
              </a:graphicData>
            </a:graphic>
          </wp:inline>
        </w:drawing>
      </w:r>
    </w:p>
    <w:p w:rsidR="009F06CA" w:rsidRDefault="00D0425F">
      <w:pPr>
        <w:pStyle w:val="Heading1"/>
      </w:pPr>
      <w:bookmarkStart w:id="40" w:name="_ypau7kek8vpa" w:colFirst="0" w:colLast="0"/>
      <w:bookmarkEnd w:id="40"/>
      <w:r>
        <w:br w:type="page"/>
      </w:r>
    </w:p>
    <w:p w:rsidR="009F06CA" w:rsidRDefault="00D0425F">
      <w:pPr>
        <w:pStyle w:val="Heading1"/>
      </w:pPr>
      <w:bookmarkStart w:id="41" w:name="_1vu9hzs42p29" w:colFirst="0" w:colLast="0"/>
      <w:bookmarkEnd w:id="41"/>
      <w:r>
        <w:lastRenderedPageBreak/>
        <w:t>Appendix 7: User Access Control Privileges Example</w:t>
      </w:r>
    </w:p>
    <w:p w:rsidR="009F06CA" w:rsidRDefault="00D0425F">
      <w:r>
        <w:t>The following table gives an example of the type of user roles CCS envisages configuring in the new ETS and the privileges each user type might have.</w:t>
      </w:r>
    </w:p>
    <w:tbl>
      <w:tblPr>
        <w:tblStyle w:val="ac"/>
        <w:tblW w:w="5220" w:type="dxa"/>
        <w:tblBorders>
          <w:top w:val="nil"/>
          <w:left w:val="nil"/>
          <w:bottom w:val="nil"/>
          <w:right w:val="nil"/>
          <w:insideH w:val="nil"/>
          <w:insideV w:val="nil"/>
        </w:tblBorders>
        <w:tblLayout w:type="fixed"/>
        <w:tblLook w:val="0600" w:firstRow="0" w:lastRow="0" w:firstColumn="0" w:lastColumn="0" w:noHBand="1" w:noVBand="1"/>
      </w:tblPr>
      <w:tblGrid>
        <w:gridCol w:w="2790"/>
        <w:gridCol w:w="810"/>
        <w:gridCol w:w="810"/>
        <w:gridCol w:w="810"/>
      </w:tblGrid>
      <w:tr w:rsidR="009F06CA">
        <w:trPr>
          <w:trHeight w:val="345"/>
        </w:trPr>
        <w:tc>
          <w:tcPr>
            <w:tcW w:w="2790" w:type="dxa"/>
            <w:tcBorders>
              <w:top w:val="single" w:sz="6" w:space="0" w:color="000000"/>
              <w:left w:val="single" w:sz="6" w:space="0" w:color="000000"/>
              <w:bottom w:val="single" w:sz="6" w:space="0" w:color="000000"/>
              <w:right w:val="single" w:sz="6" w:space="0" w:color="000000"/>
            </w:tcBorders>
            <w:shd w:val="clear" w:color="auto" w:fill="0070C0"/>
            <w:tcMar>
              <w:top w:w="0" w:type="dxa"/>
              <w:left w:w="40" w:type="dxa"/>
              <w:bottom w:w="0" w:type="dxa"/>
              <w:right w:w="40" w:type="dxa"/>
            </w:tcMar>
            <w:vAlign w:val="center"/>
          </w:tcPr>
          <w:p w:rsidR="009F06CA" w:rsidRDefault="00D0425F">
            <w:pPr>
              <w:widowControl w:val="0"/>
              <w:spacing w:after="0" w:line="276" w:lineRule="auto"/>
            </w:pPr>
            <w:r>
              <w:rPr>
                <w:b/>
                <w:color w:val="FFFFFF"/>
                <w:sz w:val="20"/>
                <w:szCs w:val="20"/>
              </w:rPr>
              <w:t>Action</w:t>
            </w:r>
          </w:p>
        </w:tc>
        <w:tc>
          <w:tcPr>
            <w:tcW w:w="810" w:type="dxa"/>
            <w:tcBorders>
              <w:top w:val="single" w:sz="6" w:space="0" w:color="000000"/>
              <w:left w:val="single" w:sz="6" w:space="0" w:color="CCCCCC"/>
              <w:bottom w:val="single" w:sz="6" w:space="0" w:color="000000"/>
              <w:right w:val="single" w:sz="6" w:space="0" w:color="000000"/>
            </w:tcBorders>
            <w:shd w:val="clear" w:color="auto" w:fill="0070C0"/>
            <w:tcMar>
              <w:top w:w="0" w:type="dxa"/>
              <w:left w:w="40" w:type="dxa"/>
              <w:bottom w:w="0" w:type="dxa"/>
              <w:right w:w="40" w:type="dxa"/>
            </w:tcMar>
            <w:vAlign w:val="center"/>
          </w:tcPr>
          <w:p w:rsidR="009F06CA" w:rsidRDefault="00D0425F">
            <w:pPr>
              <w:widowControl w:val="0"/>
              <w:spacing w:after="0" w:line="276" w:lineRule="auto"/>
              <w:jc w:val="center"/>
            </w:pPr>
            <w:r>
              <w:rPr>
                <w:b/>
                <w:color w:val="FFFFFF"/>
                <w:sz w:val="20"/>
                <w:szCs w:val="20"/>
              </w:rPr>
              <w:t>Traders</w:t>
            </w:r>
          </w:p>
        </w:tc>
        <w:tc>
          <w:tcPr>
            <w:tcW w:w="810" w:type="dxa"/>
            <w:tcBorders>
              <w:top w:val="single" w:sz="6" w:space="0" w:color="000000"/>
              <w:left w:val="single" w:sz="6" w:space="0" w:color="CCCCCC"/>
              <w:bottom w:val="single" w:sz="6" w:space="0" w:color="000000"/>
              <w:right w:val="single" w:sz="6" w:space="0" w:color="000000"/>
            </w:tcBorders>
            <w:shd w:val="clear" w:color="auto" w:fill="0070C0"/>
            <w:tcMar>
              <w:top w:w="0" w:type="dxa"/>
              <w:left w:w="40" w:type="dxa"/>
              <w:bottom w:w="0" w:type="dxa"/>
              <w:right w:w="40" w:type="dxa"/>
            </w:tcMar>
            <w:vAlign w:val="center"/>
          </w:tcPr>
          <w:p w:rsidR="009F06CA" w:rsidRDefault="00D0425F">
            <w:pPr>
              <w:widowControl w:val="0"/>
              <w:spacing w:after="0" w:line="276" w:lineRule="auto"/>
              <w:jc w:val="center"/>
            </w:pPr>
            <w:r>
              <w:rPr>
                <w:b/>
                <w:color w:val="FFFFFF"/>
                <w:sz w:val="20"/>
                <w:szCs w:val="20"/>
              </w:rPr>
              <w:t>Risk</w:t>
            </w:r>
          </w:p>
        </w:tc>
        <w:tc>
          <w:tcPr>
            <w:tcW w:w="810" w:type="dxa"/>
            <w:tcBorders>
              <w:top w:val="single" w:sz="6" w:space="0" w:color="000000"/>
              <w:left w:val="single" w:sz="6" w:space="0" w:color="CCCCCC"/>
              <w:bottom w:val="single" w:sz="6" w:space="0" w:color="000000"/>
              <w:right w:val="single" w:sz="6" w:space="0" w:color="000000"/>
            </w:tcBorders>
            <w:shd w:val="clear" w:color="auto" w:fill="0070C0"/>
            <w:tcMar>
              <w:top w:w="0" w:type="dxa"/>
              <w:left w:w="40" w:type="dxa"/>
              <w:bottom w:w="0" w:type="dxa"/>
              <w:right w:w="40" w:type="dxa"/>
            </w:tcMar>
            <w:vAlign w:val="center"/>
          </w:tcPr>
          <w:p w:rsidR="009F06CA" w:rsidRDefault="00D0425F">
            <w:pPr>
              <w:widowControl w:val="0"/>
              <w:spacing w:after="0" w:line="276" w:lineRule="auto"/>
              <w:jc w:val="center"/>
            </w:pPr>
            <w:r>
              <w:rPr>
                <w:b/>
                <w:color w:val="FFFFFF"/>
                <w:sz w:val="20"/>
                <w:szCs w:val="20"/>
              </w:rPr>
              <w:t>Admin</w:t>
            </w:r>
          </w:p>
        </w:tc>
      </w:tr>
      <w:tr w:rsidR="009F06CA">
        <w:trPr>
          <w:trHeight w:val="345"/>
        </w:trPr>
        <w:tc>
          <w:tcPr>
            <w:tcW w:w="279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pPr>
            <w:r>
              <w:rPr>
                <w:sz w:val="20"/>
                <w:szCs w:val="20"/>
              </w:rPr>
              <w:t>Enter Trades</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r>
      <w:tr w:rsidR="009F06CA">
        <w:trPr>
          <w:trHeight w:val="345"/>
        </w:trPr>
        <w:tc>
          <w:tcPr>
            <w:tcW w:w="279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pPr>
            <w:r>
              <w:rPr>
                <w:sz w:val="20"/>
                <w:szCs w:val="20"/>
              </w:rPr>
              <w:t>Edit unlocked trades</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r>
      <w:tr w:rsidR="009F06CA">
        <w:trPr>
          <w:trHeight w:val="345"/>
        </w:trPr>
        <w:tc>
          <w:tcPr>
            <w:tcW w:w="279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pPr>
            <w:r>
              <w:rPr>
                <w:sz w:val="20"/>
                <w:szCs w:val="20"/>
              </w:rPr>
              <w:t>Lock Trades</w:t>
            </w:r>
          </w:p>
        </w:tc>
        <w:tc>
          <w:tcPr>
            <w:tcW w:w="810" w:type="dxa"/>
            <w:tcBorders>
              <w:top w:val="single" w:sz="6" w:space="0" w:color="CCCCCC"/>
              <w:left w:val="single" w:sz="6" w:space="0" w:color="CCCCCC"/>
              <w:bottom w:val="single" w:sz="6" w:space="0" w:color="000000"/>
              <w:right w:val="single" w:sz="6" w:space="0" w:color="000000"/>
            </w:tcBorders>
            <w:shd w:val="clear" w:color="auto" w:fill="FFC7CE"/>
            <w:tcMar>
              <w:top w:w="0" w:type="dxa"/>
              <w:left w:w="40" w:type="dxa"/>
              <w:bottom w:w="0" w:type="dxa"/>
              <w:right w:w="40" w:type="dxa"/>
            </w:tcMar>
            <w:vAlign w:val="center"/>
          </w:tcPr>
          <w:p w:rsidR="009F06CA" w:rsidRDefault="00D0425F">
            <w:pPr>
              <w:widowControl w:val="0"/>
              <w:spacing w:after="0" w:line="276" w:lineRule="auto"/>
              <w:jc w:val="center"/>
            </w:pPr>
            <w:r>
              <w:rPr>
                <w:color w:val="9C0006"/>
                <w:sz w:val="20"/>
                <w:szCs w:val="20"/>
              </w:rPr>
              <w:t>No</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r>
      <w:tr w:rsidR="009F06CA">
        <w:trPr>
          <w:trHeight w:val="345"/>
        </w:trPr>
        <w:tc>
          <w:tcPr>
            <w:tcW w:w="279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pPr>
            <w:r>
              <w:rPr>
                <w:sz w:val="20"/>
                <w:szCs w:val="20"/>
              </w:rPr>
              <w:t>Unlock trades</w:t>
            </w:r>
          </w:p>
        </w:tc>
        <w:tc>
          <w:tcPr>
            <w:tcW w:w="810" w:type="dxa"/>
            <w:tcBorders>
              <w:top w:val="single" w:sz="6" w:space="0" w:color="CCCCCC"/>
              <w:left w:val="single" w:sz="6" w:space="0" w:color="CCCCCC"/>
              <w:bottom w:val="single" w:sz="6" w:space="0" w:color="000000"/>
              <w:right w:val="single" w:sz="6" w:space="0" w:color="000000"/>
            </w:tcBorders>
            <w:shd w:val="clear" w:color="auto" w:fill="FFC7CE"/>
            <w:tcMar>
              <w:top w:w="0" w:type="dxa"/>
              <w:left w:w="40" w:type="dxa"/>
              <w:bottom w:w="0" w:type="dxa"/>
              <w:right w:w="40" w:type="dxa"/>
            </w:tcMar>
            <w:vAlign w:val="center"/>
          </w:tcPr>
          <w:p w:rsidR="009F06CA" w:rsidRDefault="00D0425F">
            <w:pPr>
              <w:widowControl w:val="0"/>
              <w:spacing w:after="0" w:line="276" w:lineRule="auto"/>
              <w:jc w:val="center"/>
            </w:pPr>
            <w:r>
              <w:rPr>
                <w:color w:val="9C0006"/>
                <w:sz w:val="20"/>
                <w:szCs w:val="20"/>
              </w:rPr>
              <w:t>No</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r>
      <w:tr w:rsidR="009F06CA">
        <w:trPr>
          <w:trHeight w:val="345"/>
        </w:trPr>
        <w:tc>
          <w:tcPr>
            <w:tcW w:w="279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pPr>
            <w:r>
              <w:rPr>
                <w:sz w:val="20"/>
                <w:szCs w:val="20"/>
              </w:rPr>
              <w:t>Edit locked trades</w:t>
            </w:r>
          </w:p>
        </w:tc>
        <w:tc>
          <w:tcPr>
            <w:tcW w:w="810" w:type="dxa"/>
            <w:tcBorders>
              <w:top w:val="single" w:sz="6" w:space="0" w:color="CCCCCC"/>
              <w:left w:val="single" w:sz="6" w:space="0" w:color="CCCCCC"/>
              <w:bottom w:val="single" w:sz="6" w:space="0" w:color="000000"/>
              <w:right w:val="single" w:sz="6" w:space="0" w:color="000000"/>
            </w:tcBorders>
            <w:shd w:val="clear" w:color="auto" w:fill="FFC7CE"/>
            <w:tcMar>
              <w:top w:w="0" w:type="dxa"/>
              <w:left w:w="40" w:type="dxa"/>
              <w:bottom w:w="0" w:type="dxa"/>
              <w:right w:w="40" w:type="dxa"/>
            </w:tcMar>
            <w:vAlign w:val="center"/>
          </w:tcPr>
          <w:p w:rsidR="009F06CA" w:rsidRDefault="00D0425F">
            <w:pPr>
              <w:widowControl w:val="0"/>
              <w:spacing w:after="0" w:line="276" w:lineRule="auto"/>
              <w:jc w:val="center"/>
            </w:pPr>
            <w:r>
              <w:rPr>
                <w:color w:val="9C0006"/>
                <w:sz w:val="20"/>
                <w:szCs w:val="20"/>
              </w:rPr>
              <w:t>No</w:t>
            </w:r>
          </w:p>
        </w:tc>
        <w:tc>
          <w:tcPr>
            <w:tcW w:w="810" w:type="dxa"/>
            <w:tcBorders>
              <w:top w:val="single" w:sz="6" w:space="0" w:color="CCCCCC"/>
              <w:left w:val="single" w:sz="6" w:space="0" w:color="CCCCCC"/>
              <w:bottom w:val="single" w:sz="6" w:space="0" w:color="000000"/>
              <w:right w:val="single" w:sz="6" w:space="0" w:color="000000"/>
            </w:tcBorders>
            <w:shd w:val="clear" w:color="auto" w:fill="FFC7CE"/>
            <w:tcMar>
              <w:top w:w="0" w:type="dxa"/>
              <w:left w:w="40" w:type="dxa"/>
              <w:bottom w:w="0" w:type="dxa"/>
              <w:right w:w="40" w:type="dxa"/>
            </w:tcMar>
            <w:vAlign w:val="center"/>
          </w:tcPr>
          <w:p w:rsidR="009F06CA" w:rsidRDefault="00D0425F">
            <w:pPr>
              <w:widowControl w:val="0"/>
              <w:spacing w:after="0" w:line="276" w:lineRule="auto"/>
              <w:jc w:val="center"/>
            </w:pPr>
            <w:r>
              <w:rPr>
                <w:color w:val="9C0006"/>
                <w:sz w:val="20"/>
                <w:szCs w:val="20"/>
              </w:rPr>
              <w:t>No</w:t>
            </w:r>
          </w:p>
        </w:tc>
        <w:tc>
          <w:tcPr>
            <w:tcW w:w="810" w:type="dxa"/>
            <w:tcBorders>
              <w:top w:val="single" w:sz="6" w:space="0" w:color="CCCCCC"/>
              <w:left w:val="single" w:sz="6" w:space="0" w:color="CCCCCC"/>
              <w:bottom w:val="single" w:sz="6" w:space="0" w:color="000000"/>
              <w:right w:val="single" w:sz="6" w:space="0" w:color="000000"/>
            </w:tcBorders>
            <w:shd w:val="clear" w:color="auto" w:fill="FFC7CE"/>
            <w:tcMar>
              <w:top w:w="0" w:type="dxa"/>
              <w:left w:w="40" w:type="dxa"/>
              <w:bottom w:w="0" w:type="dxa"/>
              <w:right w:w="40" w:type="dxa"/>
            </w:tcMar>
            <w:vAlign w:val="center"/>
          </w:tcPr>
          <w:p w:rsidR="009F06CA" w:rsidRDefault="00D0425F">
            <w:pPr>
              <w:widowControl w:val="0"/>
              <w:spacing w:after="0" w:line="276" w:lineRule="auto"/>
              <w:jc w:val="center"/>
            </w:pPr>
            <w:r>
              <w:rPr>
                <w:color w:val="9C0006"/>
                <w:sz w:val="20"/>
                <w:szCs w:val="20"/>
              </w:rPr>
              <w:t>No</w:t>
            </w:r>
          </w:p>
        </w:tc>
      </w:tr>
      <w:tr w:rsidR="009F06CA">
        <w:trPr>
          <w:trHeight w:val="345"/>
        </w:trPr>
        <w:tc>
          <w:tcPr>
            <w:tcW w:w="279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pPr>
            <w:r>
              <w:rPr>
                <w:sz w:val="20"/>
                <w:szCs w:val="20"/>
              </w:rPr>
              <w:t>Setup and edit counterparties</w:t>
            </w:r>
          </w:p>
        </w:tc>
        <w:tc>
          <w:tcPr>
            <w:tcW w:w="810" w:type="dxa"/>
            <w:tcBorders>
              <w:top w:val="single" w:sz="6" w:space="0" w:color="CCCCCC"/>
              <w:left w:val="single" w:sz="6" w:space="0" w:color="CCCCCC"/>
              <w:bottom w:val="single" w:sz="6" w:space="0" w:color="000000"/>
              <w:right w:val="single" w:sz="6" w:space="0" w:color="000000"/>
            </w:tcBorders>
            <w:shd w:val="clear" w:color="auto" w:fill="FFC7CE"/>
            <w:tcMar>
              <w:top w:w="0" w:type="dxa"/>
              <w:left w:w="40" w:type="dxa"/>
              <w:bottom w:w="0" w:type="dxa"/>
              <w:right w:w="40" w:type="dxa"/>
            </w:tcMar>
            <w:vAlign w:val="center"/>
          </w:tcPr>
          <w:p w:rsidR="009F06CA" w:rsidRDefault="00D0425F">
            <w:pPr>
              <w:widowControl w:val="0"/>
              <w:spacing w:after="0" w:line="276" w:lineRule="auto"/>
              <w:jc w:val="center"/>
            </w:pPr>
            <w:r>
              <w:rPr>
                <w:color w:val="9C0006"/>
                <w:sz w:val="20"/>
                <w:szCs w:val="20"/>
              </w:rPr>
              <w:t>No</w:t>
            </w:r>
          </w:p>
        </w:tc>
        <w:tc>
          <w:tcPr>
            <w:tcW w:w="810" w:type="dxa"/>
            <w:tcBorders>
              <w:top w:val="single" w:sz="6" w:space="0" w:color="CCCCCC"/>
              <w:left w:val="single" w:sz="6" w:space="0" w:color="CCCCCC"/>
              <w:bottom w:val="single" w:sz="6" w:space="0" w:color="000000"/>
              <w:right w:val="single" w:sz="6" w:space="0" w:color="000000"/>
            </w:tcBorders>
            <w:shd w:val="clear" w:color="auto" w:fill="FFC7CE"/>
            <w:tcMar>
              <w:top w:w="0" w:type="dxa"/>
              <w:left w:w="40" w:type="dxa"/>
              <w:bottom w:w="0" w:type="dxa"/>
              <w:right w:w="40" w:type="dxa"/>
            </w:tcMar>
            <w:vAlign w:val="center"/>
          </w:tcPr>
          <w:p w:rsidR="009F06CA" w:rsidRDefault="00D0425F">
            <w:pPr>
              <w:widowControl w:val="0"/>
              <w:spacing w:after="0" w:line="276" w:lineRule="auto"/>
              <w:jc w:val="center"/>
            </w:pPr>
            <w:r>
              <w:rPr>
                <w:color w:val="9C0006"/>
                <w:sz w:val="20"/>
                <w:szCs w:val="20"/>
              </w:rPr>
              <w:t>No</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r>
      <w:tr w:rsidR="009F06CA">
        <w:trPr>
          <w:trHeight w:val="345"/>
        </w:trPr>
        <w:tc>
          <w:tcPr>
            <w:tcW w:w="279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pPr>
            <w:r>
              <w:rPr>
                <w:sz w:val="20"/>
                <w:szCs w:val="20"/>
              </w:rPr>
              <w:t>Setup and edit Books</w:t>
            </w:r>
          </w:p>
        </w:tc>
        <w:tc>
          <w:tcPr>
            <w:tcW w:w="810" w:type="dxa"/>
            <w:tcBorders>
              <w:top w:val="single" w:sz="6" w:space="0" w:color="CCCCCC"/>
              <w:left w:val="single" w:sz="6" w:space="0" w:color="CCCCCC"/>
              <w:bottom w:val="single" w:sz="6" w:space="0" w:color="000000"/>
              <w:right w:val="single" w:sz="6" w:space="0" w:color="000000"/>
            </w:tcBorders>
            <w:shd w:val="clear" w:color="auto" w:fill="FFC7CE"/>
            <w:tcMar>
              <w:top w:w="0" w:type="dxa"/>
              <w:left w:w="40" w:type="dxa"/>
              <w:bottom w:w="0" w:type="dxa"/>
              <w:right w:w="40" w:type="dxa"/>
            </w:tcMar>
            <w:vAlign w:val="center"/>
          </w:tcPr>
          <w:p w:rsidR="009F06CA" w:rsidRDefault="00D0425F">
            <w:pPr>
              <w:widowControl w:val="0"/>
              <w:spacing w:after="0" w:line="276" w:lineRule="auto"/>
              <w:jc w:val="center"/>
            </w:pPr>
            <w:r>
              <w:rPr>
                <w:color w:val="9C0006"/>
                <w:sz w:val="20"/>
                <w:szCs w:val="20"/>
              </w:rPr>
              <w:t>No</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r>
      <w:tr w:rsidR="009F06CA">
        <w:trPr>
          <w:trHeight w:val="345"/>
        </w:trPr>
        <w:tc>
          <w:tcPr>
            <w:tcW w:w="279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pPr>
            <w:r>
              <w:rPr>
                <w:sz w:val="20"/>
                <w:szCs w:val="20"/>
              </w:rPr>
              <w:t>Activate/ Deactivate Books</w:t>
            </w:r>
          </w:p>
        </w:tc>
        <w:tc>
          <w:tcPr>
            <w:tcW w:w="810" w:type="dxa"/>
            <w:tcBorders>
              <w:top w:val="single" w:sz="6" w:space="0" w:color="CCCCCC"/>
              <w:left w:val="single" w:sz="6" w:space="0" w:color="CCCCCC"/>
              <w:bottom w:val="single" w:sz="6" w:space="0" w:color="000000"/>
              <w:right w:val="single" w:sz="6" w:space="0" w:color="000000"/>
            </w:tcBorders>
            <w:shd w:val="clear" w:color="auto" w:fill="FFC7CE"/>
            <w:tcMar>
              <w:top w:w="0" w:type="dxa"/>
              <w:left w:w="40" w:type="dxa"/>
              <w:bottom w:w="0" w:type="dxa"/>
              <w:right w:w="40" w:type="dxa"/>
            </w:tcMar>
            <w:vAlign w:val="center"/>
          </w:tcPr>
          <w:p w:rsidR="009F06CA" w:rsidRDefault="00D0425F">
            <w:pPr>
              <w:widowControl w:val="0"/>
              <w:spacing w:after="0" w:line="276" w:lineRule="auto"/>
              <w:jc w:val="center"/>
            </w:pPr>
            <w:r>
              <w:rPr>
                <w:color w:val="9C0006"/>
                <w:sz w:val="20"/>
                <w:szCs w:val="20"/>
              </w:rPr>
              <w:t>No</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r>
      <w:tr w:rsidR="009F06CA">
        <w:trPr>
          <w:trHeight w:val="345"/>
        </w:trPr>
        <w:tc>
          <w:tcPr>
            <w:tcW w:w="279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pPr>
            <w:r>
              <w:rPr>
                <w:sz w:val="20"/>
                <w:szCs w:val="20"/>
              </w:rPr>
              <w:t>Setup price curves</w:t>
            </w:r>
          </w:p>
        </w:tc>
        <w:tc>
          <w:tcPr>
            <w:tcW w:w="810" w:type="dxa"/>
            <w:tcBorders>
              <w:top w:val="single" w:sz="6" w:space="0" w:color="CCCCCC"/>
              <w:left w:val="single" w:sz="6" w:space="0" w:color="CCCCCC"/>
              <w:bottom w:val="single" w:sz="6" w:space="0" w:color="000000"/>
              <w:right w:val="single" w:sz="6" w:space="0" w:color="000000"/>
            </w:tcBorders>
            <w:shd w:val="clear" w:color="auto" w:fill="FFC7CE"/>
            <w:tcMar>
              <w:top w:w="0" w:type="dxa"/>
              <w:left w:w="40" w:type="dxa"/>
              <w:bottom w:w="0" w:type="dxa"/>
              <w:right w:w="40" w:type="dxa"/>
            </w:tcMar>
            <w:vAlign w:val="center"/>
          </w:tcPr>
          <w:p w:rsidR="009F06CA" w:rsidRDefault="00D0425F">
            <w:pPr>
              <w:widowControl w:val="0"/>
              <w:spacing w:after="0" w:line="276" w:lineRule="auto"/>
              <w:jc w:val="center"/>
            </w:pPr>
            <w:r>
              <w:rPr>
                <w:color w:val="9C0006"/>
                <w:sz w:val="20"/>
                <w:szCs w:val="20"/>
              </w:rPr>
              <w:t>No</w:t>
            </w:r>
          </w:p>
        </w:tc>
        <w:tc>
          <w:tcPr>
            <w:tcW w:w="810" w:type="dxa"/>
            <w:tcBorders>
              <w:top w:val="single" w:sz="6" w:space="0" w:color="CCCCCC"/>
              <w:left w:val="single" w:sz="6" w:space="0" w:color="CCCCCC"/>
              <w:bottom w:val="single" w:sz="6" w:space="0" w:color="000000"/>
              <w:right w:val="single" w:sz="6" w:space="0" w:color="000000"/>
            </w:tcBorders>
            <w:shd w:val="clear" w:color="auto" w:fill="FFC7CE"/>
            <w:tcMar>
              <w:top w:w="0" w:type="dxa"/>
              <w:left w:w="40" w:type="dxa"/>
              <w:bottom w:w="0" w:type="dxa"/>
              <w:right w:w="40" w:type="dxa"/>
            </w:tcMar>
            <w:vAlign w:val="center"/>
          </w:tcPr>
          <w:p w:rsidR="009F06CA" w:rsidRDefault="00D0425F">
            <w:pPr>
              <w:widowControl w:val="0"/>
              <w:spacing w:after="0" w:line="276" w:lineRule="auto"/>
              <w:jc w:val="center"/>
            </w:pPr>
            <w:r>
              <w:rPr>
                <w:color w:val="9C0006"/>
                <w:sz w:val="20"/>
                <w:szCs w:val="20"/>
              </w:rPr>
              <w:t>No</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r>
      <w:tr w:rsidR="009F06CA">
        <w:trPr>
          <w:trHeight w:val="345"/>
        </w:trPr>
        <w:tc>
          <w:tcPr>
            <w:tcW w:w="279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pPr>
            <w:r>
              <w:rPr>
                <w:sz w:val="20"/>
                <w:szCs w:val="20"/>
              </w:rPr>
              <w:t>Load curves</w:t>
            </w:r>
          </w:p>
        </w:tc>
        <w:tc>
          <w:tcPr>
            <w:tcW w:w="810" w:type="dxa"/>
            <w:tcBorders>
              <w:top w:val="single" w:sz="6" w:space="0" w:color="CCCCCC"/>
              <w:left w:val="single" w:sz="6" w:space="0" w:color="CCCCCC"/>
              <w:bottom w:val="single" w:sz="6" w:space="0" w:color="000000"/>
              <w:right w:val="single" w:sz="6" w:space="0" w:color="000000"/>
            </w:tcBorders>
            <w:shd w:val="clear" w:color="auto" w:fill="FFC7CE"/>
            <w:tcMar>
              <w:top w:w="0" w:type="dxa"/>
              <w:left w:w="40" w:type="dxa"/>
              <w:bottom w:w="0" w:type="dxa"/>
              <w:right w:w="40" w:type="dxa"/>
            </w:tcMar>
            <w:vAlign w:val="center"/>
          </w:tcPr>
          <w:p w:rsidR="009F06CA" w:rsidRDefault="00D0425F">
            <w:pPr>
              <w:widowControl w:val="0"/>
              <w:spacing w:after="0" w:line="276" w:lineRule="auto"/>
              <w:jc w:val="center"/>
            </w:pPr>
            <w:r>
              <w:rPr>
                <w:color w:val="9C0006"/>
                <w:sz w:val="20"/>
                <w:szCs w:val="20"/>
              </w:rPr>
              <w:t>No</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r>
      <w:tr w:rsidR="009F06CA">
        <w:trPr>
          <w:trHeight w:val="345"/>
        </w:trPr>
        <w:tc>
          <w:tcPr>
            <w:tcW w:w="279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pPr>
            <w:r>
              <w:rPr>
                <w:sz w:val="20"/>
                <w:szCs w:val="20"/>
              </w:rPr>
              <w:t>View Positions</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r>
      <w:tr w:rsidR="009F06CA">
        <w:trPr>
          <w:trHeight w:val="345"/>
        </w:trPr>
        <w:tc>
          <w:tcPr>
            <w:tcW w:w="279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pPr>
            <w:r>
              <w:rPr>
                <w:sz w:val="20"/>
                <w:szCs w:val="20"/>
              </w:rPr>
              <w:t>Load Demands</w:t>
            </w:r>
          </w:p>
        </w:tc>
        <w:tc>
          <w:tcPr>
            <w:tcW w:w="810" w:type="dxa"/>
            <w:tcBorders>
              <w:top w:val="single" w:sz="6" w:space="0" w:color="CCCCCC"/>
              <w:left w:val="single" w:sz="6" w:space="0" w:color="CCCCCC"/>
              <w:bottom w:val="single" w:sz="6" w:space="0" w:color="000000"/>
              <w:right w:val="single" w:sz="6" w:space="0" w:color="000000"/>
            </w:tcBorders>
            <w:shd w:val="clear" w:color="auto" w:fill="FFC7CE"/>
            <w:tcMar>
              <w:top w:w="0" w:type="dxa"/>
              <w:left w:w="40" w:type="dxa"/>
              <w:bottom w:w="0" w:type="dxa"/>
              <w:right w:w="40" w:type="dxa"/>
            </w:tcMar>
            <w:vAlign w:val="center"/>
          </w:tcPr>
          <w:p w:rsidR="009F06CA" w:rsidRDefault="00D0425F">
            <w:pPr>
              <w:widowControl w:val="0"/>
              <w:spacing w:after="0" w:line="276" w:lineRule="auto"/>
              <w:jc w:val="center"/>
            </w:pPr>
            <w:r>
              <w:rPr>
                <w:color w:val="9C0006"/>
                <w:sz w:val="20"/>
                <w:szCs w:val="20"/>
              </w:rPr>
              <w:t>No</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r>
      <w:tr w:rsidR="009F06CA">
        <w:trPr>
          <w:trHeight w:val="345"/>
        </w:trPr>
        <w:tc>
          <w:tcPr>
            <w:tcW w:w="279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pPr>
            <w:r>
              <w:rPr>
                <w:sz w:val="20"/>
                <w:szCs w:val="20"/>
              </w:rPr>
              <w:t>Manage Access Rights</w:t>
            </w:r>
          </w:p>
        </w:tc>
        <w:tc>
          <w:tcPr>
            <w:tcW w:w="810" w:type="dxa"/>
            <w:tcBorders>
              <w:top w:val="single" w:sz="6" w:space="0" w:color="CCCCCC"/>
              <w:left w:val="single" w:sz="6" w:space="0" w:color="CCCCCC"/>
              <w:bottom w:val="single" w:sz="6" w:space="0" w:color="000000"/>
              <w:right w:val="single" w:sz="6" w:space="0" w:color="000000"/>
            </w:tcBorders>
            <w:shd w:val="clear" w:color="auto" w:fill="FFC7CE"/>
            <w:tcMar>
              <w:top w:w="0" w:type="dxa"/>
              <w:left w:w="40" w:type="dxa"/>
              <w:bottom w:w="0" w:type="dxa"/>
              <w:right w:w="40" w:type="dxa"/>
            </w:tcMar>
            <w:vAlign w:val="center"/>
          </w:tcPr>
          <w:p w:rsidR="009F06CA" w:rsidRDefault="00D0425F">
            <w:pPr>
              <w:widowControl w:val="0"/>
              <w:spacing w:after="0" w:line="276" w:lineRule="auto"/>
              <w:jc w:val="center"/>
            </w:pPr>
            <w:r>
              <w:rPr>
                <w:color w:val="9C0006"/>
                <w:sz w:val="20"/>
                <w:szCs w:val="20"/>
              </w:rPr>
              <w:t>No</w:t>
            </w:r>
          </w:p>
        </w:tc>
        <w:tc>
          <w:tcPr>
            <w:tcW w:w="810" w:type="dxa"/>
            <w:tcBorders>
              <w:top w:val="single" w:sz="6" w:space="0" w:color="CCCCCC"/>
              <w:left w:val="single" w:sz="6" w:space="0" w:color="CCCCCC"/>
              <w:bottom w:val="single" w:sz="6" w:space="0" w:color="000000"/>
              <w:right w:val="single" w:sz="6" w:space="0" w:color="000000"/>
            </w:tcBorders>
            <w:shd w:val="clear" w:color="auto" w:fill="FFC7CE"/>
            <w:tcMar>
              <w:top w:w="0" w:type="dxa"/>
              <w:left w:w="40" w:type="dxa"/>
              <w:bottom w:w="0" w:type="dxa"/>
              <w:right w:w="40" w:type="dxa"/>
            </w:tcMar>
            <w:vAlign w:val="center"/>
          </w:tcPr>
          <w:p w:rsidR="009F06CA" w:rsidRDefault="00D0425F">
            <w:pPr>
              <w:widowControl w:val="0"/>
              <w:spacing w:after="0" w:line="276" w:lineRule="auto"/>
              <w:jc w:val="center"/>
            </w:pPr>
            <w:r>
              <w:rPr>
                <w:color w:val="9C0006"/>
                <w:sz w:val="20"/>
                <w:szCs w:val="20"/>
              </w:rPr>
              <w:t>No</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r>
      <w:tr w:rsidR="009F06CA">
        <w:trPr>
          <w:trHeight w:val="345"/>
        </w:trPr>
        <w:tc>
          <w:tcPr>
            <w:tcW w:w="279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pPr>
            <w:r>
              <w:rPr>
                <w:sz w:val="20"/>
                <w:szCs w:val="20"/>
              </w:rPr>
              <w:t>Manage System Parameters</w:t>
            </w:r>
          </w:p>
        </w:tc>
        <w:tc>
          <w:tcPr>
            <w:tcW w:w="810" w:type="dxa"/>
            <w:tcBorders>
              <w:top w:val="single" w:sz="6" w:space="0" w:color="CCCCCC"/>
              <w:left w:val="single" w:sz="6" w:space="0" w:color="CCCCCC"/>
              <w:bottom w:val="single" w:sz="6" w:space="0" w:color="000000"/>
              <w:right w:val="single" w:sz="6" w:space="0" w:color="000000"/>
            </w:tcBorders>
            <w:shd w:val="clear" w:color="auto" w:fill="FFC7CE"/>
            <w:tcMar>
              <w:top w:w="0" w:type="dxa"/>
              <w:left w:w="40" w:type="dxa"/>
              <w:bottom w:w="0" w:type="dxa"/>
              <w:right w:w="40" w:type="dxa"/>
            </w:tcMar>
            <w:vAlign w:val="center"/>
          </w:tcPr>
          <w:p w:rsidR="009F06CA" w:rsidRDefault="00D0425F">
            <w:pPr>
              <w:widowControl w:val="0"/>
              <w:spacing w:after="0" w:line="276" w:lineRule="auto"/>
              <w:jc w:val="center"/>
            </w:pPr>
            <w:r>
              <w:rPr>
                <w:color w:val="9C0006"/>
                <w:sz w:val="20"/>
                <w:szCs w:val="20"/>
              </w:rPr>
              <w:t>No</w:t>
            </w:r>
          </w:p>
        </w:tc>
        <w:tc>
          <w:tcPr>
            <w:tcW w:w="810" w:type="dxa"/>
            <w:tcBorders>
              <w:top w:val="single" w:sz="6" w:space="0" w:color="CCCCCC"/>
              <w:left w:val="single" w:sz="6" w:space="0" w:color="CCCCCC"/>
              <w:bottom w:val="single" w:sz="6" w:space="0" w:color="000000"/>
              <w:right w:val="single" w:sz="6" w:space="0" w:color="000000"/>
            </w:tcBorders>
            <w:shd w:val="clear" w:color="auto" w:fill="FFC7CE"/>
            <w:tcMar>
              <w:top w:w="0" w:type="dxa"/>
              <w:left w:w="40" w:type="dxa"/>
              <w:bottom w:w="0" w:type="dxa"/>
              <w:right w:w="40" w:type="dxa"/>
            </w:tcMar>
            <w:vAlign w:val="center"/>
          </w:tcPr>
          <w:p w:rsidR="009F06CA" w:rsidRDefault="00D0425F">
            <w:pPr>
              <w:widowControl w:val="0"/>
              <w:spacing w:after="0" w:line="276" w:lineRule="auto"/>
              <w:jc w:val="center"/>
            </w:pPr>
            <w:r>
              <w:rPr>
                <w:color w:val="9C0006"/>
                <w:sz w:val="20"/>
                <w:szCs w:val="20"/>
              </w:rPr>
              <w:t>No</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r>
      <w:tr w:rsidR="009F06CA">
        <w:trPr>
          <w:trHeight w:val="345"/>
        </w:trPr>
        <w:tc>
          <w:tcPr>
            <w:tcW w:w="2790" w:type="dxa"/>
            <w:tcBorders>
              <w:top w:val="single" w:sz="6" w:space="0" w:color="CCCCCC"/>
              <w:left w:val="single" w:sz="6" w:space="0" w:color="000000"/>
              <w:bottom w:val="single" w:sz="6" w:space="0" w:color="000000"/>
              <w:right w:val="single" w:sz="6" w:space="0" w:color="000000"/>
            </w:tcBorders>
            <w:tcMar>
              <w:top w:w="0" w:type="dxa"/>
              <w:left w:w="40" w:type="dxa"/>
              <w:bottom w:w="0" w:type="dxa"/>
              <w:right w:w="40" w:type="dxa"/>
            </w:tcMar>
            <w:vAlign w:val="center"/>
          </w:tcPr>
          <w:p w:rsidR="009F06CA" w:rsidRDefault="00D0425F">
            <w:pPr>
              <w:widowControl w:val="0"/>
              <w:spacing w:after="0" w:line="276" w:lineRule="auto"/>
            </w:pPr>
            <w:r>
              <w:rPr>
                <w:sz w:val="20"/>
                <w:szCs w:val="20"/>
              </w:rPr>
              <w:t>Create and Edit Risk Reports</w:t>
            </w:r>
          </w:p>
        </w:tc>
        <w:tc>
          <w:tcPr>
            <w:tcW w:w="810" w:type="dxa"/>
            <w:tcBorders>
              <w:top w:val="single" w:sz="6" w:space="0" w:color="CCCCCC"/>
              <w:left w:val="single" w:sz="6" w:space="0" w:color="CCCCCC"/>
              <w:bottom w:val="single" w:sz="6" w:space="0" w:color="000000"/>
              <w:right w:val="single" w:sz="6" w:space="0" w:color="000000"/>
            </w:tcBorders>
            <w:shd w:val="clear" w:color="auto" w:fill="FFC7CE"/>
            <w:tcMar>
              <w:top w:w="0" w:type="dxa"/>
              <w:left w:w="40" w:type="dxa"/>
              <w:bottom w:w="0" w:type="dxa"/>
              <w:right w:w="40" w:type="dxa"/>
            </w:tcMar>
            <w:vAlign w:val="center"/>
          </w:tcPr>
          <w:p w:rsidR="009F06CA" w:rsidRDefault="00D0425F">
            <w:pPr>
              <w:widowControl w:val="0"/>
              <w:spacing w:after="0" w:line="276" w:lineRule="auto"/>
              <w:jc w:val="center"/>
            </w:pPr>
            <w:r>
              <w:rPr>
                <w:color w:val="9C0006"/>
                <w:sz w:val="20"/>
                <w:szCs w:val="20"/>
              </w:rPr>
              <w:t>No</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c>
          <w:tcPr>
            <w:tcW w:w="810" w:type="dxa"/>
            <w:tcBorders>
              <w:top w:val="single" w:sz="6" w:space="0" w:color="CCCCCC"/>
              <w:left w:val="single" w:sz="6" w:space="0" w:color="CCCCCC"/>
              <w:bottom w:val="single" w:sz="6" w:space="0" w:color="000000"/>
              <w:right w:val="single" w:sz="6" w:space="0" w:color="000000"/>
            </w:tcBorders>
            <w:shd w:val="clear" w:color="auto" w:fill="C6EFCE"/>
            <w:tcMar>
              <w:top w:w="0" w:type="dxa"/>
              <w:left w:w="40" w:type="dxa"/>
              <w:bottom w:w="0" w:type="dxa"/>
              <w:right w:w="40" w:type="dxa"/>
            </w:tcMar>
            <w:vAlign w:val="center"/>
          </w:tcPr>
          <w:p w:rsidR="009F06CA" w:rsidRDefault="00D0425F">
            <w:pPr>
              <w:widowControl w:val="0"/>
              <w:spacing w:after="0" w:line="276" w:lineRule="auto"/>
              <w:jc w:val="center"/>
            </w:pPr>
            <w:r>
              <w:rPr>
                <w:color w:val="006100"/>
                <w:sz w:val="20"/>
                <w:szCs w:val="20"/>
              </w:rPr>
              <w:t>Yes</w:t>
            </w:r>
          </w:p>
        </w:tc>
      </w:tr>
    </w:tbl>
    <w:p w:rsidR="009F06CA" w:rsidRDefault="009F06CA"/>
    <w:sectPr w:rsidR="009F06CA">
      <w:headerReference w:type="even" r:id="rId15"/>
      <w:headerReference w:type="default" r:id="rId16"/>
      <w:footerReference w:type="even" r:id="rId17"/>
      <w:footerReference w:type="default" r:id="rId18"/>
      <w:headerReference w:type="first" r:id="rId19"/>
      <w:footerReference w:type="first" r:id="rId20"/>
      <w:pgSz w:w="11906" w:h="16838"/>
      <w:pgMar w:top="85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425F" w:rsidRDefault="00D0425F" w:rsidP="00CA58C9">
      <w:pPr>
        <w:spacing w:after="0" w:line="240" w:lineRule="auto"/>
      </w:pPr>
      <w:r>
        <w:separator/>
      </w:r>
    </w:p>
  </w:endnote>
  <w:endnote w:type="continuationSeparator" w:id="0">
    <w:p w:rsidR="00D0425F" w:rsidRDefault="00D0425F" w:rsidP="00CA5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8C9" w:rsidRDefault="00CA58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8C9" w:rsidRDefault="00CA58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8C9" w:rsidRDefault="00CA58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425F" w:rsidRDefault="00D0425F" w:rsidP="00CA58C9">
      <w:pPr>
        <w:spacing w:after="0" w:line="240" w:lineRule="auto"/>
      </w:pPr>
      <w:r>
        <w:separator/>
      </w:r>
    </w:p>
  </w:footnote>
  <w:footnote w:type="continuationSeparator" w:id="0">
    <w:p w:rsidR="00D0425F" w:rsidRDefault="00D0425F" w:rsidP="00CA58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8C9" w:rsidRDefault="00CA58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8C9" w:rsidRDefault="00CA58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8C9" w:rsidRDefault="00CA5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C3011"/>
    <w:multiLevelType w:val="multilevel"/>
    <w:tmpl w:val="746E1C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7934651"/>
    <w:multiLevelType w:val="multilevel"/>
    <w:tmpl w:val="9D7E7F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97B6DF4"/>
    <w:multiLevelType w:val="multilevel"/>
    <w:tmpl w:val="FCA298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3777889"/>
    <w:multiLevelType w:val="multilevel"/>
    <w:tmpl w:val="F8D81712"/>
    <w:lvl w:ilvl="0">
      <w:start w:val="1"/>
      <w:numFmt w:val="bullet"/>
      <w:lvlText w:val="●"/>
      <w:lvlJc w:val="left"/>
      <w:pPr>
        <w:ind w:left="720" w:hanging="360"/>
      </w:pPr>
      <w:rPr>
        <w:rFonts w:ascii="Calibri" w:eastAsia="Calibri" w:hAnsi="Calibri" w:cs="Calibri"/>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5004B1F"/>
    <w:multiLevelType w:val="multilevel"/>
    <w:tmpl w:val="51F22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FC746D6"/>
    <w:multiLevelType w:val="multilevel"/>
    <w:tmpl w:val="61BA930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2428502D"/>
    <w:multiLevelType w:val="multilevel"/>
    <w:tmpl w:val="4B2EAF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5BC486A"/>
    <w:multiLevelType w:val="multilevel"/>
    <w:tmpl w:val="8040A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5B81CD0"/>
    <w:multiLevelType w:val="multilevel"/>
    <w:tmpl w:val="14C293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BE573F6"/>
    <w:multiLevelType w:val="multilevel"/>
    <w:tmpl w:val="CD4EC8D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3D5E009E"/>
    <w:multiLevelType w:val="multilevel"/>
    <w:tmpl w:val="A8A8B1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97553D9"/>
    <w:multiLevelType w:val="multilevel"/>
    <w:tmpl w:val="D5EEC0C6"/>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C245769"/>
    <w:multiLevelType w:val="multilevel"/>
    <w:tmpl w:val="347C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4337D27"/>
    <w:multiLevelType w:val="multilevel"/>
    <w:tmpl w:val="25EAE4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1204632"/>
    <w:multiLevelType w:val="multilevel"/>
    <w:tmpl w:val="6F662D2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61D334DB"/>
    <w:multiLevelType w:val="multilevel"/>
    <w:tmpl w:val="DA9E9C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4EF013F"/>
    <w:multiLevelType w:val="multilevel"/>
    <w:tmpl w:val="1D3CDA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5"/>
  </w:num>
  <w:num w:numId="2">
    <w:abstractNumId w:val="6"/>
  </w:num>
  <w:num w:numId="3">
    <w:abstractNumId w:val="0"/>
  </w:num>
  <w:num w:numId="4">
    <w:abstractNumId w:val="8"/>
  </w:num>
  <w:num w:numId="5">
    <w:abstractNumId w:val="1"/>
  </w:num>
  <w:num w:numId="6">
    <w:abstractNumId w:val="12"/>
  </w:num>
  <w:num w:numId="7">
    <w:abstractNumId w:val="10"/>
  </w:num>
  <w:num w:numId="8">
    <w:abstractNumId w:val="11"/>
  </w:num>
  <w:num w:numId="9">
    <w:abstractNumId w:val="3"/>
  </w:num>
  <w:num w:numId="10">
    <w:abstractNumId w:val="7"/>
  </w:num>
  <w:num w:numId="11">
    <w:abstractNumId w:val="14"/>
  </w:num>
  <w:num w:numId="12">
    <w:abstractNumId w:val="13"/>
  </w:num>
  <w:num w:numId="13">
    <w:abstractNumId w:val="16"/>
  </w:num>
  <w:num w:numId="14">
    <w:abstractNumId w:val="2"/>
  </w:num>
  <w:num w:numId="15">
    <w:abstractNumId w:val="9"/>
  </w:num>
  <w:num w:numId="16">
    <w:abstractNumId w:val="4"/>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6CA"/>
    <w:rsid w:val="009F06CA"/>
    <w:rsid w:val="00CA58C9"/>
    <w:rsid w:val="00D042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40" w:after="0"/>
      <w:outlineLvl w:val="0"/>
    </w:pPr>
    <w:rPr>
      <w:color w:val="2E75B5"/>
      <w:sz w:val="32"/>
      <w:szCs w:val="32"/>
    </w:rPr>
  </w:style>
  <w:style w:type="paragraph" w:styleId="Heading2">
    <w:name w:val="heading 2"/>
    <w:basedOn w:val="Normal"/>
    <w:next w:val="Normal"/>
    <w:pPr>
      <w:keepNext/>
      <w:keepLines/>
      <w:spacing w:before="40" w:after="0"/>
      <w:outlineLvl w:val="1"/>
    </w:pPr>
    <w:rPr>
      <w:color w:val="2E75B5"/>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CA58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A58C9"/>
  </w:style>
  <w:style w:type="paragraph" w:styleId="Footer">
    <w:name w:val="footer"/>
    <w:basedOn w:val="Normal"/>
    <w:link w:val="FooterChar"/>
    <w:uiPriority w:val="99"/>
    <w:unhideWhenUsed/>
    <w:rsid w:val="00CA58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A58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investopedia.com/ask/answers/033115/how-can-you-calculate-value-risk-var-excel.as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31</Pages>
  <Words>9918</Words>
  <Characters>56539</Characters>
  <Application>Microsoft Office Word</Application>
  <DocSecurity>0</DocSecurity>
  <Lines>471</Lines>
  <Paragraphs>132</Paragraphs>
  <ScaleCrop>false</ScaleCrop>
  <Company/>
  <LinksUpToDate>false</LinksUpToDate>
  <CharactersWithSpaces>66325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2020-02-27T14:49:00Z</dcterms:created>
  <dcterms:modified xsi:type="dcterms:W3CDTF">2020-02-27T14:49:00Z</dcterms:modified>
</cp:coreProperties>
</file>